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3DA54A">
      <w:pPr>
        <w:keepNext w:val="0"/>
        <w:keepLines w:val="0"/>
        <w:pageBreakBefore w:val="0"/>
        <w:widowControl w:val="0"/>
        <w:kinsoku/>
        <w:wordWrap/>
        <w:overflowPunct/>
        <w:topLinePunct w:val="0"/>
        <w:autoSpaceDE/>
        <w:autoSpaceDN/>
        <w:bidi w:val="0"/>
        <w:adjustRightInd/>
        <w:snapToGrid/>
        <w:spacing w:beforeAutospacing="0" w:afterAutospacing="0" w:line="1980" w:lineRule="exact"/>
        <w:ind w:left="0" w:leftChars="0" w:right="0" w:rightChars="0" w:firstLine="0" w:firstLineChars="0"/>
        <w:jc w:val="both"/>
        <w:textAlignment w:val="auto"/>
        <w:outlineLvl w:val="9"/>
        <w:rPr>
          <w:rFonts w:hint="eastAsia" w:ascii="方正小标宋简体" w:hAnsi="方正小标宋简体" w:eastAsia="方正小标宋简体" w:cs="方正小标宋简体"/>
          <w:b/>
          <w:bCs/>
          <w:color w:val="FF0000"/>
          <w:spacing w:val="-14"/>
          <w:w w:val="90"/>
          <w:sz w:val="122"/>
          <w:szCs w:val="122"/>
        </w:rPr>
      </w:pPr>
    </w:p>
    <w:p w14:paraId="469D5E97">
      <w:pPr>
        <w:keepNext w:val="0"/>
        <w:keepLines w:val="0"/>
        <w:pageBreakBefore w:val="0"/>
        <w:widowControl w:val="0"/>
        <w:kinsoku/>
        <w:wordWrap/>
        <w:overflowPunct/>
        <w:topLinePunct w:val="0"/>
        <w:autoSpaceDE/>
        <w:autoSpaceDN/>
        <w:bidi w:val="0"/>
        <w:adjustRightInd/>
        <w:snapToGrid/>
        <w:spacing w:line="1300" w:lineRule="exact"/>
        <w:ind w:left="0" w:leftChars="0" w:right="0" w:rightChars="0" w:firstLine="0" w:firstLineChars="0"/>
        <w:jc w:val="both"/>
        <w:textAlignment w:val="auto"/>
        <w:outlineLvl w:val="9"/>
        <w:rPr>
          <w:rFonts w:hint="eastAsia" w:ascii="仿宋_GB2312" w:eastAsia="仿宋_GB2312"/>
          <w:color w:val="000000"/>
          <w:spacing w:val="-2"/>
          <w:w w:val="90"/>
          <w:sz w:val="32"/>
          <w:szCs w:val="32"/>
        </w:rPr>
      </w:pPr>
    </w:p>
    <w:p w14:paraId="3BA56456">
      <w:pPr>
        <w:keepNext w:val="0"/>
        <w:keepLines w:val="0"/>
        <w:pageBreakBefore w:val="0"/>
        <w:widowControl w:val="0"/>
        <w:tabs>
          <w:tab w:val="left" w:pos="8610"/>
        </w:tabs>
        <w:kinsoku/>
        <w:wordWrap/>
        <w:overflowPunct/>
        <w:topLinePunct w:val="0"/>
        <w:autoSpaceDE/>
        <w:autoSpaceDN/>
        <w:bidi w:val="0"/>
        <w:adjustRightInd/>
        <w:spacing w:before="0" w:beforeLines="0" w:after="0" w:afterLines="0" w:line="560" w:lineRule="exact"/>
        <w:ind w:left="0" w:leftChars="0" w:right="0" w:rightChars="0"/>
        <w:jc w:val="center"/>
        <w:textAlignment w:val="auto"/>
        <w:outlineLvl w:val="9"/>
        <w:rPr>
          <w:rFonts w:hint="eastAsia" w:ascii="楷体_GB2312" w:hAnsi="楷体_GB2312" w:eastAsia="楷体_GB2312" w:cs="楷体_GB2312"/>
          <w:sz w:val="32"/>
          <w:szCs w:val="32"/>
        </w:rPr>
      </w:pPr>
      <w:r>
        <w:rPr>
          <w:rFonts w:hint="default" w:ascii="Times New Roman" w:hAnsi="Times New Roman" w:eastAsia="方正仿宋_GBK" w:cs="Times New Roman"/>
          <w:sz w:val="32"/>
          <w:szCs w:val="32"/>
        </w:rPr>
        <w:t>玉财</w:t>
      </w:r>
      <w:r>
        <w:rPr>
          <w:rFonts w:hint="eastAsia" w:ascii="方正仿宋_GBK" w:hAnsi="方正仿宋_GBK" w:eastAsia="方正仿宋_GBK" w:cs="方正仿宋_GBK"/>
          <w:sz w:val="32"/>
          <w:szCs w:val="32"/>
          <w:lang w:val="en-US" w:eastAsia="zh-CN"/>
        </w:rPr>
        <w:t>农</w:t>
      </w:r>
      <w:r>
        <w:rPr>
          <w:rFonts w:hint="default" w:ascii="Times New Roman" w:hAnsi="Times New Roman" w:eastAsia="方正仿宋_GBK" w:cs="Times New Roman"/>
          <w:sz w:val="32"/>
          <w:szCs w:val="32"/>
        </w:rPr>
        <w:t>〔20</w:t>
      </w:r>
      <w:r>
        <w:rPr>
          <w:rFonts w:hint="eastAsia" w:ascii="Times New Roman" w:hAnsi="Times New Roman" w:eastAsia="方正仿宋_GBK" w:cs="Times New Roman"/>
          <w:sz w:val="32"/>
          <w:szCs w:val="32"/>
          <w:lang w:val="en-US" w:eastAsia="zh-CN"/>
        </w:rPr>
        <w:t>25</w:t>
      </w:r>
      <w:r>
        <w:rPr>
          <w:rFonts w:hint="default" w:ascii="Times New Roman" w:hAnsi="Times New Roman" w:eastAsia="方正仿宋_GBK" w:cs="Times New Roman"/>
          <w:sz w:val="32"/>
          <w:szCs w:val="32"/>
        </w:rPr>
        <w:t>〕</w:t>
      </w:r>
      <w:r>
        <w:rPr>
          <w:rFonts w:hint="eastAsia" w:ascii="Times New Roman" w:hAnsi="Times New Roman" w:eastAsia="方正仿宋_GBK" w:cs="Times New Roman"/>
          <w:sz w:val="32"/>
          <w:szCs w:val="32"/>
          <w:lang w:val="en-US" w:eastAsia="zh-CN"/>
        </w:rPr>
        <w:t>21</w:t>
      </w:r>
      <w:r>
        <w:rPr>
          <w:rFonts w:hint="default" w:ascii="Times New Roman" w:hAnsi="Times New Roman" w:eastAsia="方正仿宋_GBK" w:cs="Times New Roman"/>
          <w:sz w:val="32"/>
          <w:szCs w:val="32"/>
        </w:rPr>
        <w:t>号</w:t>
      </w:r>
    </w:p>
    <w:p w14:paraId="03635E52">
      <w:pPr>
        <w:keepNext w:val="0"/>
        <w:keepLines w:val="0"/>
        <w:pageBreakBefore w:val="0"/>
        <w:widowControl w:val="0"/>
        <w:kinsoku/>
        <w:wordWrap/>
        <w:overflowPunct/>
        <w:topLinePunct w:val="0"/>
        <w:autoSpaceDE/>
        <w:autoSpaceDN/>
        <w:bidi w:val="0"/>
        <w:adjustRightInd/>
        <w:spacing w:before="0" w:beforeLines="0" w:after="0" w:afterLines="0" w:line="590" w:lineRule="exact"/>
        <w:ind w:left="0" w:leftChars="0" w:right="0" w:rightChars="0"/>
        <w:textAlignment w:val="auto"/>
        <w:outlineLvl w:val="9"/>
        <w:rPr>
          <w:rFonts w:hint="default" w:ascii="Times New Roman" w:hAnsi="Times New Roman" w:eastAsia="仿宋_GB2312" w:cs="Times New Roman"/>
          <w:color w:val="000000"/>
          <w:spacing w:val="-2"/>
          <w:w w:val="90"/>
          <w:sz w:val="32"/>
          <w:szCs w:val="32"/>
        </w:rPr>
      </w:pPr>
      <w:bookmarkStart w:id="3" w:name="_GoBack"/>
      <w:bookmarkEnd w:id="3"/>
    </w:p>
    <w:p w14:paraId="3A143F20">
      <w:pPr>
        <w:keepNext w:val="0"/>
        <w:keepLines w:val="0"/>
        <w:pageBreakBefore w:val="0"/>
        <w:widowControl w:val="0"/>
        <w:pBdr>
          <w:top w:val="none" w:color="auto" w:sz="0" w:space="0"/>
          <w:bottom w:val="none" w:color="auto" w:sz="0" w:space="0"/>
        </w:pBdr>
        <w:kinsoku/>
        <w:wordWrap/>
        <w:overflowPunct/>
        <w:topLinePunct w:val="0"/>
        <w:autoSpaceDE/>
        <w:autoSpaceDN/>
        <w:bidi w:val="0"/>
        <w:adjustRightInd/>
        <w:snapToGrid w:val="0"/>
        <w:spacing w:after="0" w:line="610" w:lineRule="exact"/>
        <w:jc w:val="center"/>
        <w:textAlignment w:val="auto"/>
        <w:rPr>
          <w:rFonts w:hint="default" w:ascii="Times New Roman" w:hAnsi="Times New Roman" w:eastAsia="方正小标宋_GBK" w:cs="Times New Roman"/>
          <w:spacing w:val="0"/>
          <w:sz w:val="44"/>
          <w:szCs w:val="44"/>
          <w:lang w:eastAsia="zh-CN"/>
        </w:rPr>
      </w:pPr>
      <w:r>
        <w:rPr>
          <w:rFonts w:hint="default" w:ascii="Times New Roman" w:hAnsi="Times New Roman" w:eastAsia="方正小标宋_GBK" w:cs="Times New Roman"/>
          <w:spacing w:val="0"/>
          <w:sz w:val="44"/>
          <w:szCs w:val="44"/>
          <w:lang w:eastAsia="zh-CN"/>
        </w:rPr>
        <w:t>玉溪市财政局关于下达2025年</w:t>
      </w:r>
      <w:r>
        <w:rPr>
          <w:rFonts w:hint="eastAsia" w:ascii="Times New Roman" w:hAnsi="Times New Roman" w:eastAsia="方正小标宋_GBK" w:cs="Times New Roman"/>
          <w:spacing w:val="0"/>
          <w:sz w:val="44"/>
          <w:szCs w:val="44"/>
          <w:lang w:val="en-US" w:eastAsia="zh-CN"/>
        </w:rPr>
        <w:t>省级</w:t>
      </w:r>
      <w:r>
        <w:rPr>
          <w:rFonts w:hint="default" w:ascii="Times New Roman" w:hAnsi="Times New Roman" w:eastAsia="方正小标宋_GBK" w:cs="Times New Roman"/>
          <w:spacing w:val="0"/>
          <w:sz w:val="44"/>
          <w:szCs w:val="44"/>
          <w:lang w:eastAsia="zh-CN"/>
        </w:rPr>
        <w:t>财政</w:t>
      </w:r>
    </w:p>
    <w:p w14:paraId="57BD4AD9">
      <w:pPr>
        <w:keepNext w:val="0"/>
        <w:keepLines w:val="0"/>
        <w:pageBreakBefore w:val="0"/>
        <w:widowControl w:val="0"/>
        <w:pBdr>
          <w:top w:val="none" w:color="auto" w:sz="0" w:space="0"/>
          <w:bottom w:val="none" w:color="auto" w:sz="0" w:space="0"/>
        </w:pBdr>
        <w:kinsoku/>
        <w:wordWrap/>
        <w:overflowPunct/>
        <w:topLinePunct w:val="0"/>
        <w:autoSpaceDE/>
        <w:autoSpaceDN/>
        <w:bidi w:val="0"/>
        <w:adjustRightInd/>
        <w:snapToGrid w:val="0"/>
        <w:spacing w:after="0" w:line="610" w:lineRule="exact"/>
        <w:jc w:val="center"/>
        <w:textAlignment w:val="auto"/>
        <w:rPr>
          <w:rFonts w:hint="default" w:ascii="Times New Roman" w:hAnsi="Times New Roman" w:eastAsia="方正小标宋_GBK" w:cs="Times New Roman"/>
          <w:spacing w:val="0"/>
          <w:sz w:val="44"/>
          <w:szCs w:val="44"/>
          <w:lang w:eastAsia="zh-CN"/>
        </w:rPr>
      </w:pPr>
      <w:r>
        <w:rPr>
          <w:rFonts w:hint="default" w:ascii="Times New Roman" w:hAnsi="Times New Roman" w:eastAsia="方正小标宋_GBK" w:cs="Times New Roman"/>
          <w:spacing w:val="0"/>
          <w:sz w:val="44"/>
          <w:szCs w:val="44"/>
          <w:lang w:eastAsia="zh-CN"/>
        </w:rPr>
        <w:t>衔接推进乡村振兴补助资金</w:t>
      </w:r>
      <w:r>
        <w:rPr>
          <w:rFonts w:hint="eastAsia" w:ascii="Times New Roman" w:hAnsi="Times New Roman" w:eastAsia="方正小标宋_GBK" w:cs="Times New Roman"/>
          <w:spacing w:val="0"/>
          <w:sz w:val="44"/>
          <w:szCs w:val="44"/>
          <w:lang w:eastAsia="zh-CN"/>
        </w:rPr>
        <w:t>（第二批）</w:t>
      </w:r>
      <w:r>
        <w:rPr>
          <w:rFonts w:hint="default" w:ascii="Times New Roman" w:hAnsi="Times New Roman" w:eastAsia="方正小标宋_GBK" w:cs="Times New Roman"/>
          <w:spacing w:val="0"/>
          <w:sz w:val="44"/>
          <w:szCs w:val="44"/>
          <w:lang w:eastAsia="zh-CN"/>
        </w:rPr>
        <w:t>的通知</w:t>
      </w:r>
    </w:p>
    <w:p w14:paraId="5F228216">
      <w:pPr>
        <w:keepNext w:val="0"/>
        <w:keepLines w:val="0"/>
        <w:pageBreakBefore w:val="0"/>
        <w:widowControl w:val="0"/>
        <w:pBdr>
          <w:top w:val="none" w:color="auto" w:sz="0" w:space="0"/>
          <w:bottom w:val="none" w:color="auto" w:sz="0" w:space="0"/>
        </w:pBdr>
        <w:kinsoku/>
        <w:wordWrap/>
        <w:overflowPunct/>
        <w:topLinePunct w:val="0"/>
        <w:autoSpaceDE/>
        <w:autoSpaceDN/>
        <w:bidi w:val="0"/>
        <w:snapToGrid w:val="0"/>
        <w:spacing w:after="0" w:line="610" w:lineRule="exact"/>
        <w:jc w:val="center"/>
        <w:textAlignment w:val="auto"/>
        <w:rPr>
          <w:rFonts w:hint="default" w:ascii="Times New Roman" w:hAnsi="Times New Roman" w:eastAsia="方正仿宋_GBK" w:cs="Times New Roman"/>
          <w:color w:val="auto"/>
          <w:spacing w:val="0"/>
          <w:sz w:val="32"/>
          <w:szCs w:val="32"/>
          <w:lang w:eastAsia="zh-CN"/>
        </w:rPr>
      </w:pPr>
    </w:p>
    <w:p w14:paraId="366CA7BF">
      <w:pPr>
        <w:keepNext w:val="0"/>
        <w:keepLines w:val="0"/>
        <w:pageBreakBefore w:val="0"/>
        <w:widowControl w:val="0"/>
        <w:pBdr>
          <w:top w:val="none" w:color="auto" w:sz="0" w:space="0"/>
          <w:bottom w:val="none" w:color="auto" w:sz="0" w:space="0"/>
        </w:pBdr>
        <w:kinsoku/>
        <w:wordWrap/>
        <w:overflowPunct/>
        <w:topLinePunct w:val="0"/>
        <w:autoSpaceDE/>
        <w:autoSpaceDN/>
        <w:bidi w:val="0"/>
        <w:adjustRightInd w:val="0"/>
        <w:snapToGrid w:val="0"/>
        <w:spacing w:after="0" w:line="610" w:lineRule="exact"/>
        <w:jc w:val="both"/>
        <w:textAlignment w:val="auto"/>
        <w:rPr>
          <w:rFonts w:hint="eastAsia" w:ascii="Times New Roman" w:hAnsi="Times New Roman" w:eastAsia="方正仿宋_GBK" w:cs="方正仿宋_GBK"/>
          <w:color w:val="auto"/>
          <w:spacing w:val="0"/>
          <w:sz w:val="32"/>
          <w:szCs w:val="32"/>
          <w:lang w:eastAsia="zh-CN"/>
        </w:rPr>
      </w:pPr>
      <w:r>
        <w:rPr>
          <w:rFonts w:hint="eastAsia" w:ascii="Times New Roman" w:hAnsi="Times New Roman" w:eastAsia="方正仿宋_GBK" w:cs="方正仿宋_GBK"/>
          <w:color w:val="auto"/>
          <w:spacing w:val="0"/>
          <w:sz w:val="32"/>
          <w:szCs w:val="32"/>
          <w:lang w:eastAsia="zh-CN"/>
        </w:rPr>
        <w:t>各县（市、区）财政局：</w:t>
      </w:r>
      <w:bookmarkStart w:id="0" w:name="正文开始"/>
      <w:bookmarkEnd w:id="0"/>
    </w:p>
    <w:p w14:paraId="2A87DA79">
      <w:pPr>
        <w:keepNext w:val="0"/>
        <w:keepLines w:val="0"/>
        <w:pageBreakBefore w:val="0"/>
        <w:widowControl w:val="0"/>
        <w:pBdr>
          <w:top w:val="none" w:color="auto" w:sz="0" w:space="0"/>
          <w:bottom w:val="none" w:color="auto" w:sz="0" w:space="0"/>
        </w:pBdr>
        <w:kinsoku/>
        <w:wordWrap/>
        <w:overflowPunct/>
        <w:topLinePunct w:val="0"/>
        <w:autoSpaceDE/>
        <w:autoSpaceDN/>
        <w:bidi w:val="0"/>
        <w:adjustRightInd/>
        <w:snapToGrid/>
        <w:spacing w:after="0" w:line="610" w:lineRule="exact"/>
        <w:ind w:firstLine="648" w:firstLineChars="200"/>
        <w:textAlignment w:val="auto"/>
        <w:rPr>
          <w:rFonts w:hint="eastAsia" w:ascii="Times New Roman" w:hAnsi="Times New Roman" w:eastAsia="方正仿宋_GBK" w:cs="方正仿宋_GBK"/>
          <w:spacing w:val="6"/>
          <w:sz w:val="32"/>
          <w:szCs w:val="32"/>
          <w:lang w:eastAsia="zh-CN"/>
        </w:rPr>
      </w:pPr>
      <w:r>
        <w:rPr>
          <w:rFonts w:hint="eastAsia" w:ascii="Times New Roman" w:hAnsi="Times New Roman" w:eastAsia="方正仿宋_GBK" w:cs="方正仿宋_GBK"/>
          <w:color w:val="auto"/>
          <w:spacing w:val="0"/>
          <w:sz w:val="32"/>
          <w:szCs w:val="32"/>
          <w:lang w:eastAsia="zh-CN"/>
        </w:rPr>
        <w:t>根据</w:t>
      </w:r>
      <w:r>
        <w:rPr>
          <w:rFonts w:hint="eastAsia" w:ascii="Times New Roman" w:hAnsi="Times New Roman" w:eastAsia="方正仿宋_GBK" w:cs="方正仿宋_GBK"/>
          <w:color w:val="auto"/>
          <w:spacing w:val="0"/>
          <w:sz w:val="32"/>
          <w:szCs w:val="32"/>
        </w:rPr>
        <w:t>《</w:t>
      </w:r>
      <w:r>
        <w:rPr>
          <w:rFonts w:hint="eastAsia" w:ascii="Times New Roman" w:hAnsi="Times New Roman" w:eastAsia="方正仿宋_GBK" w:cs="方正仿宋_GBK"/>
          <w:color w:val="auto"/>
          <w:spacing w:val="0"/>
          <w:sz w:val="32"/>
          <w:szCs w:val="32"/>
          <w:lang w:eastAsia="zh-CN"/>
        </w:rPr>
        <w:t>云南省财政厅关于下达2025年省级财政衔接推进乡村振兴补助资金（第二批）的通知</w:t>
      </w:r>
      <w:r>
        <w:rPr>
          <w:rFonts w:hint="eastAsia" w:ascii="Times New Roman" w:hAnsi="Times New Roman" w:eastAsia="方正仿宋_GBK" w:cs="方正仿宋_GBK"/>
          <w:color w:val="auto"/>
          <w:spacing w:val="0"/>
          <w:sz w:val="32"/>
          <w:szCs w:val="32"/>
        </w:rPr>
        <w:t>》（</w:t>
      </w:r>
      <w:r>
        <w:rPr>
          <w:rFonts w:hint="eastAsia" w:ascii="Times New Roman" w:hAnsi="Times New Roman" w:eastAsia="方正仿宋_GBK" w:cs="方正仿宋_GBK"/>
          <w:color w:val="auto"/>
          <w:spacing w:val="0"/>
          <w:sz w:val="32"/>
          <w:szCs w:val="32"/>
          <w:lang w:eastAsia="zh-CN"/>
        </w:rPr>
        <w:t>云财农</w:t>
      </w:r>
      <w:r>
        <w:rPr>
          <w:rFonts w:hint="eastAsia" w:ascii="Times New Roman" w:hAnsi="Times New Roman" w:eastAsia="方正仿宋_GBK" w:cs="方正仿宋_GBK"/>
          <w:color w:val="auto"/>
          <w:spacing w:val="0"/>
          <w:sz w:val="32"/>
          <w:szCs w:val="32"/>
        </w:rPr>
        <w:t>〔20</w:t>
      </w:r>
      <w:r>
        <w:rPr>
          <w:rFonts w:hint="eastAsia" w:ascii="Times New Roman" w:hAnsi="Times New Roman" w:eastAsia="方正仿宋_GBK" w:cs="方正仿宋_GBK"/>
          <w:color w:val="auto"/>
          <w:spacing w:val="0"/>
          <w:sz w:val="32"/>
          <w:szCs w:val="32"/>
          <w:lang w:val="en-US" w:eastAsia="zh-CN"/>
        </w:rPr>
        <w:t>25</w:t>
      </w:r>
      <w:r>
        <w:rPr>
          <w:rFonts w:hint="eastAsia" w:ascii="Times New Roman" w:hAnsi="Times New Roman" w:eastAsia="方正仿宋_GBK" w:cs="方正仿宋_GBK"/>
          <w:color w:val="auto"/>
          <w:spacing w:val="0"/>
          <w:sz w:val="32"/>
          <w:szCs w:val="32"/>
        </w:rPr>
        <w:t>〕</w:t>
      </w:r>
      <w:r>
        <w:rPr>
          <w:rFonts w:hint="eastAsia" w:ascii="Times New Roman" w:hAnsi="Times New Roman" w:eastAsia="方正仿宋_GBK" w:cs="方正仿宋_GBK"/>
          <w:color w:val="auto"/>
          <w:spacing w:val="0"/>
          <w:sz w:val="32"/>
          <w:szCs w:val="32"/>
          <w:lang w:val="en-US" w:eastAsia="zh-CN"/>
        </w:rPr>
        <w:t>31</w:t>
      </w:r>
      <w:r>
        <w:rPr>
          <w:rFonts w:hint="eastAsia" w:ascii="Times New Roman" w:hAnsi="Times New Roman" w:eastAsia="方正仿宋_GBK" w:cs="方正仿宋_GBK"/>
          <w:color w:val="auto"/>
          <w:spacing w:val="0"/>
          <w:sz w:val="32"/>
          <w:szCs w:val="32"/>
        </w:rPr>
        <w:t>号）</w:t>
      </w:r>
      <w:r>
        <w:rPr>
          <w:rFonts w:hint="eastAsia" w:ascii="Times New Roman" w:hAnsi="Times New Roman" w:eastAsia="方正仿宋_GBK" w:cs="方正仿宋_GBK"/>
          <w:color w:val="auto"/>
          <w:spacing w:val="0"/>
          <w:sz w:val="32"/>
          <w:szCs w:val="32"/>
          <w:lang w:eastAsia="zh-CN"/>
        </w:rPr>
        <w:t>，</w:t>
      </w:r>
      <w:r>
        <w:rPr>
          <w:rFonts w:hint="eastAsia" w:ascii="Times New Roman" w:hAnsi="Times New Roman" w:eastAsia="方正仿宋_GBK" w:cs="方正仿宋_GBK"/>
          <w:spacing w:val="6"/>
          <w:sz w:val="32"/>
          <w:szCs w:val="32"/>
          <w:lang w:eastAsia="zh-CN"/>
        </w:rPr>
        <w:t>现将202</w:t>
      </w:r>
      <w:r>
        <w:rPr>
          <w:rFonts w:hint="eastAsia" w:ascii="Times New Roman" w:hAnsi="Times New Roman" w:eastAsia="方正仿宋_GBK" w:cs="方正仿宋_GBK"/>
          <w:spacing w:val="6"/>
          <w:sz w:val="32"/>
          <w:szCs w:val="32"/>
          <w:lang w:val="en-US" w:eastAsia="zh-CN"/>
        </w:rPr>
        <w:t>5</w:t>
      </w:r>
      <w:r>
        <w:rPr>
          <w:rFonts w:hint="eastAsia" w:ascii="Times New Roman" w:hAnsi="Times New Roman" w:eastAsia="方正仿宋_GBK" w:cs="方正仿宋_GBK"/>
          <w:spacing w:val="6"/>
          <w:sz w:val="32"/>
          <w:szCs w:val="32"/>
          <w:lang w:eastAsia="zh-CN"/>
        </w:rPr>
        <w:t>年省级财政衔接推进乡村振兴补助资金（第二批）下达你们（详见附件</w:t>
      </w:r>
      <w:r>
        <w:rPr>
          <w:rFonts w:hint="eastAsia" w:ascii="Times New Roman" w:hAnsi="Times New Roman" w:eastAsia="方正仿宋_GBK" w:cs="方正仿宋_GBK"/>
          <w:spacing w:val="6"/>
          <w:sz w:val="32"/>
          <w:szCs w:val="32"/>
          <w:lang w:val="en-US" w:eastAsia="zh-CN"/>
        </w:rPr>
        <w:t>1</w:t>
      </w:r>
      <w:r>
        <w:rPr>
          <w:rFonts w:hint="eastAsia" w:ascii="Times New Roman" w:hAnsi="Times New Roman" w:eastAsia="方正仿宋_GBK" w:cs="方正仿宋_GBK"/>
          <w:spacing w:val="6"/>
          <w:sz w:val="32"/>
          <w:szCs w:val="32"/>
          <w:lang w:eastAsia="zh-CN"/>
        </w:rPr>
        <w:t>），支出列</w:t>
      </w:r>
      <w:r>
        <w:rPr>
          <w:rFonts w:hint="eastAsia" w:ascii="Times New Roman" w:hAnsi="Times New Roman" w:eastAsia="方正仿宋_GBK" w:cs="方正仿宋_GBK"/>
          <w:spacing w:val="6"/>
          <w:sz w:val="32"/>
          <w:szCs w:val="32"/>
          <w:highlight w:val="none"/>
          <w:lang w:eastAsia="zh-CN"/>
        </w:rPr>
        <w:t>202</w:t>
      </w:r>
      <w:r>
        <w:rPr>
          <w:rFonts w:hint="eastAsia" w:ascii="Times New Roman" w:hAnsi="Times New Roman" w:eastAsia="方正仿宋_GBK" w:cs="方正仿宋_GBK"/>
          <w:spacing w:val="6"/>
          <w:sz w:val="32"/>
          <w:szCs w:val="32"/>
          <w:highlight w:val="none"/>
          <w:lang w:val="en-US" w:eastAsia="zh-CN"/>
        </w:rPr>
        <w:t>5</w:t>
      </w:r>
      <w:r>
        <w:rPr>
          <w:rFonts w:hint="eastAsia" w:ascii="Times New Roman" w:hAnsi="Times New Roman" w:eastAsia="方正仿宋_GBK" w:cs="方正仿宋_GBK"/>
          <w:spacing w:val="6"/>
          <w:sz w:val="32"/>
          <w:szCs w:val="32"/>
          <w:highlight w:val="none"/>
          <w:lang w:eastAsia="zh-CN"/>
        </w:rPr>
        <w:t>年“21305巩固脱贫攻坚成果衔接乡村振兴”相关科目（“项级”科目根据具体实施项目确定）</w:t>
      </w:r>
      <w:r>
        <w:rPr>
          <w:rFonts w:hint="eastAsia" w:ascii="Times New Roman" w:hAnsi="Times New Roman" w:eastAsia="方正仿宋_GBK" w:cs="方正仿宋_GBK"/>
          <w:spacing w:val="6"/>
          <w:sz w:val="32"/>
          <w:szCs w:val="32"/>
          <w:lang w:eastAsia="zh-CN"/>
        </w:rPr>
        <w:t>，</w:t>
      </w:r>
      <w:r>
        <w:rPr>
          <w:rFonts w:hint="eastAsia" w:ascii="Times New Roman" w:hAnsi="Times New Roman" w:eastAsia="方正仿宋_GBK" w:cs="方正仿宋_GBK"/>
          <w:spacing w:val="6"/>
          <w:sz w:val="32"/>
          <w:szCs w:val="32"/>
          <w:highlight w:val="none"/>
          <w:lang w:eastAsia="zh-CN"/>
        </w:rPr>
        <w:t>经济科目列“51301上下级政府间转移性支出”</w:t>
      </w:r>
      <w:r>
        <w:rPr>
          <w:rFonts w:hint="eastAsia" w:ascii="Times New Roman" w:hAnsi="Times New Roman" w:eastAsia="方正仿宋_GBK" w:cs="方正仿宋_GBK"/>
          <w:spacing w:val="6"/>
          <w:sz w:val="32"/>
          <w:szCs w:val="32"/>
          <w:lang w:eastAsia="zh-CN"/>
        </w:rPr>
        <w:t>。现就资金使用管理有关事宜通知如下：</w:t>
      </w:r>
    </w:p>
    <w:p w14:paraId="1781B1B3">
      <w:pPr>
        <w:keepNext w:val="0"/>
        <w:keepLines w:val="0"/>
        <w:pageBreakBefore w:val="0"/>
        <w:widowControl w:val="0"/>
        <w:pBdr>
          <w:top w:val="none" w:color="auto" w:sz="0" w:space="0"/>
          <w:bottom w:val="none" w:color="auto" w:sz="0" w:space="0"/>
        </w:pBdr>
        <w:kinsoku/>
        <w:wordWrap/>
        <w:overflowPunct w:val="0"/>
        <w:topLinePunct w:val="0"/>
        <w:autoSpaceDE/>
        <w:autoSpaceDN/>
        <w:bidi w:val="0"/>
        <w:adjustRightInd/>
        <w:snapToGrid/>
        <w:spacing w:after="0" w:line="610" w:lineRule="exact"/>
        <w:ind w:firstLine="672" w:firstLineChars="200"/>
        <w:jc w:val="both"/>
        <w:textAlignment w:val="auto"/>
        <w:rPr>
          <w:rFonts w:hint="eastAsia" w:ascii="Times New Roman" w:hAnsi="Times New Roman" w:eastAsia="方正仿宋_GBK" w:cs="方正仿宋_GBK"/>
          <w:spacing w:val="6"/>
          <w:sz w:val="32"/>
          <w:szCs w:val="32"/>
          <w:lang w:val="en-US" w:eastAsia="zh-CN" w:bidi="ar-SA"/>
        </w:rPr>
      </w:pPr>
      <w:r>
        <w:rPr>
          <w:rFonts w:hint="eastAsia" w:ascii="Times New Roman" w:hAnsi="Times New Roman" w:eastAsia="方正仿宋_GBK" w:cs="方正仿宋_GBK"/>
          <w:spacing w:val="6"/>
          <w:sz w:val="32"/>
          <w:szCs w:val="32"/>
          <w:lang w:eastAsia="zh-CN"/>
        </w:rPr>
        <w:t>一、切实管好用好衔接资金。</w:t>
      </w:r>
      <w:r>
        <w:rPr>
          <w:rFonts w:hint="eastAsia" w:ascii="Times New Roman" w:hAnsi="Times New Roman" w:eastAsia="方正仿宋_GBK" w:cs="方正仿宋_GBK"/>
          <w:color w:val="auto"/>
          <w:spacing w:val="6"/>
          <w:sz w:val="32"/>
          <w:szCs w:val="32"/>
          <w:lang w:eastAsia="zh-CN"/>
        </w:rPr>
        <w:t>认真贯彻落实党中央、国务院关于巩固拓展脱贫攻坚成果同乡村振兴有效衔接的决策部署和省委、省政府工作要求，</w:t>
      </w:r>
      <w:r>
        <w:rPr>
          <w:rFonts w:hint="eastAsia" w:ascii="Times New Roman" w:hAnsi="Times New Roman" w:eastAsia="方正仿宋_GBK" w:cs="方正仿宋_GBK"/>
          <w:spacing w:val="6"/>
          <w:sz w:val="32"/>
          <w:szCs w:val="32"/>
          <w:lang w:val="en-US" w:eastAsia="zh-CN" w:bidi="ar-SA"/>
        </w:rPr>
        <w:t>严格按照《云南省财政衔接推进乡村振兴补助资金管理办法》和《云南省财政厅等六部门关于修订〈加强中央和省级财政衔接推进乡村振兴补助资金使用管理的实施意见〉的通知》（云财规〔2024〕10号）规定和要求安排使用资金，</w:t>
      </w:r>
      <w:r>
        <w:rPr>
          <w:rFonts w:hint="eastAsia" w:ascii="Times New Roman" w:hAnsi="Times New Roman" w:eastAsia="方正仿宋_GBK" w:cs="方正仿宋_GBK"/>
          <w:color w:val="auto"/>
          <w:spacing w:val="6"/>
          <w:sz w:val="32"/>
          <w:szCs w:val="32"/>
          <w:lang w:eastAsia="zh-CN"/>
        </w:rPr>
        <w:t>督促指导各地加强资金项目管理，收到上级资金后</w:t>
      </w:r>
      <w:r>
        <w:rPr>
          <w:rFonts w:hint="eastAsia" w:ascii="Times New Roman" w:hAnsi="Times New Roman" w:eastAsia="方正仿宋_GBK" w:cs="方正仿宋_GBK"/>
          <w:color w:val="auto"/>
          <w:spacing w:val="6"/>
          <w:sz w:val="32"/>
          <w:szCs w:val="32"/>
          <w:lang w:val="en-US" w:eastAsia="zh-CN"/>
        </w:rPr>
        <w:t>30日内</w:t>
      </w:r>
      <w:r>
        <w:rPr>
          <w:rFonts w:hint="eastAsia" w:ascii="Times New Roman" w:hAnsi="Times New Roman" w:eastAsia="方正仿宋_GBK" w:cs="方正仿宋_GBK"/>
          <w:color w:val="auto"/>
          <w:spacing w:val="6"/>
          <w:sz w:val="32"/>
          <w:szCs w:val="32"/>
          <w:lang w:eastAsia="zh-CN"/>
        </w:rPr>
        <w:t>将资金分解下达到具体单位和项目（资金下达超时情况将纳入后续资金测算分配因素），优先选择条件成熟的项目，加强项目实施跟踪调度</w:t>
      </w:r>
      <w:r>
        <w:rPr>
          <w:rFonts w:hint="eastAsia" w:ascii="Times New Roman" w:hAnsi="Times New Roman" w:eastAsia="方正仿宋_GBK" w:cs="方正仿宋_GBK"/>
          <w:color w:val="auto"/>
          <w:spacing w:val="6"/>
          <w:sz w:val="32"/>
          <w:szCs w:val="32"/>
          <w:lang w:val="en-US" w:eastAsia="zh-CN"/>
        </w:rPr>
        <w:t>，</w:t>
      </w:r>
      <w:r>
        <w:rPr>
          <w:rFonts w:hint="eastAsia" w:ascii="Times New Roman" w:hAnsi="Times New Roman" w:eastAsia="方正仿宋_GBK" w:cs="方正仿宋_GBK"/>
          <w:color w:val="auto"/>
          <w:spacing w:val="6"/>
          <w:sz w:val="32"/>
          <w:szCs w:val="32"/>
          <w:lang w:eastAsia="zh-CN"/>
        </w:rPr>
        <w:t>加快资金支出。持续强化资金监管，指导督促部门开展全过程绩效管理，确保资金使用规范安全，充分发挥资金使用效益。</w:t>
      </w:r>
    </w:p>
    <w:p w14:paraId="0B8CAEF9">
      <w:pPr>
        <w:keepNext w:val="0"/>
        <w:keepLines w:val="0"/>
        <w:pageBreakBefore w:val="0"/>
        <w:widowControl w:val="0"/>
        <w:pBdr>
          <w:top w:val="none" w:color="auto" w:sz="0" w:space="0"/>
          <w:bottom w:val="none" w:color="auto" w:sz="0" w:space="0"/>
        </w:pBdr>
        <w:kinsoku/>
        <w:wordWrap/>
        <w:overflowPunct/>
        <w:topLinePunct w:val="0"/>
        <w:autoSpaceDE/>
        <w:autoSpaceDN/>
        <w:bidi w:val="0"/>
        <w:adjustRightInd/>
        <w:snapToGrid/>
        <w:spacing w:after="0" w:line="610" w:lineRule="exact"/>
        <w:ind w:firstLine="672" w:firstLineChars="200"/>
        <w:textAlignment w:val="auto"/>
        <w:rPr>
          <w:rFonts w:hint="eastAsia" w:ascii="Times New Roman" w:hAnsi="Times New Roman" w:eastAsia="方正仿宋_GBK" w:cs="方正仿宋_GBK"/>
          <w:spacing w:val="6"/>
          <w:sz w:val="32"/>
          <w:szCs w:val="32"/>
          <w:highlight w:val="none"/>
          <w:lang w:val="en-US" w:eastAsia="zh-CN" w:bidi="ar-SA"/>
        </w:rPr>
      </w:pPr>
      <w:r>
        <w:rPr>
          <w:rFonts w:hint="eastAsia" w:ascii="Times New Roman" w:hAnsi="Times New Roman" w:eastAsia="方正仿宋_GBK" w:cs="方正仿宋_GBK"/>
          <w:spacing w:val="6"/>
          <w:sz w:val="32"/>
          <w:szCs w:val="32"/>
          <w:lang w:eastAsia="zh-CN"/>
        </w:rPr>
        <w:t>二、突出衔接资金支持重点。贯彻落实党的二十届三中全会精神、中央和省委省政府关于更多依靠发展来巩固拓展脱贫攻坚成果要求，突出衔接资金支持重点，优先支持联农带农富农产业发展，202</w:t>
      </w:r>
      <w:r>
        <w:rPr>
          <w:rFonts w:hint="eastAsia" w:ascii="Times New Roman" w:hAnsi="Times New Roman" w:eastAsia="方正仿宋_GBK" w:cs="方正仿宋_GBK"/>
          <w:spacing w:val="6"/>
          <w:sz w:val="32"/>
          <w:szCs w:val="32"/>
          <w:lang w:val="en-US" w:eastAsia="zh-CN"/>
        </w:rPr>
        <w:t>5</w:t>
      </w:r>
      <w:r>
        <w:rPr>
          <w:rFonts w:hint="eastAsia" w:ascii="Times New Roman" w:hAnsi="Times New Roman" w:eastAsia="方正仿宋_GBK" w:cs="方正仿宋_GBK"/>
          <w:spacing w:val="6"/>
          <w:sz w:val="32"/>
          <w:szCs w:val="32"/>
          <w:lang w:eastAsia="zh-CN"/>
        </w:rPr>
        <w:t>年用于产业发展的衔接资金占比原则上不得低于下达你地区资金总规模的</w:t>
      </w:r>
      <w:r>
        <w:rPr>
          <w:rFonts w:hint="eastAsia" w:ascii="Times New Roman" w:hAnsi="Times New Roman" w:eastAsia="方正仿宋_GBK" w:cs="方正仿宋_GBK"/>
          <w:spacing w:val="6"/>
          <w:sz w:val="32"/>
          <w:szCs w:val="32"/>
          <w:lang w:val="en-US" w:eastAsia="zh-CN"/>
        </w:rPr>
        <w:t>52%</w:t>
      </w:r>
      <w:r>
        <w:rPr>
          <w:rFonts w:hint="eastAsia" w:ascii="Times New Roman" w:hAnsi="Times New Roman" w:eastAsia="方正仿宋_GBK" w:cs="方正仿宋_GBK"/>
          <w:spacing w:val="6"/>
          <w:sz w:val="32"/>
          <w:szCs w:val="32"/>
          <w:lang w:eastAsia="zh-CN"/>
        </w:rPr>
        <w:t>，进一步巩固拓展脱贫攻坚成果，增强脱贫地区和脱贫群众内生发展动力。</w:t>
      </w:r>
    </w:p>
    <w:p w14:paraId="1211C640">
      <w:pPr>
        <w:keepNext w:val="0"/>
        <w:keepLines w:val="0"/>
        <w:pageBreakBefore w:val="0"/>
        <w:widowControl w:val="0"/>
        <w:pBdr>
          <w:top w:val="none" w:color="auto" w:sz="0" w:space="0"/>
          <w:bottom w:val="none" w:color="auto" w:sz="0" w:space="0"/>
        </w:pBdr>
        <w:tabs>
          <w:tab w:val="left" w:pos="7560"/>
        </w:tabs>
        <w:kinsoku/>
        <w:wordWrap/>
        <w:overflowPunct/>
        <w:topLinePunct w:val="0"/>
        <w:autoSpaceDE/>
        <w:autoSpaceDN/>
        <w:bidi w:val="0"/>
        <w:adjustRightInd/>
        <w:snapToGrid/>
        <w:spacing w:after="0" w:line="610" w:lineRule="exact"/>
        <w:ind w:firstLine="672" w:firstLineChars="200"/>
        <w:textAlignment w:val="auto"/>
        <w:rPr>
          <w:rFonts w:hint="eastAsia" w:ascii="Times New Roman" w:hAnsi="Times New Roman" w:eastAsia="方正仿宋_GBK" w:cs="方正仿宋_GBK"/>
          <w:spacing w:val="6"/>
          <w:sz w:val="32"/>
          <w:szCs w:val="32"/>
          <w:lang w:val="en-US" w:eastAsia="zh-CN" w:bidi="ar-SA"/>
        </w:rPr>
      </w:pPr>
    </w:p>
    <w:p w14:paraId="1B7B0516">
      <w:pPr>
        <w:keepNext w:val="0"/>
        <w:keepLines w:val="0"/>
        <w:pageBreakBefore w:val="0"/>
        <w:widowControl w:val="0"/>
        <w:pBdr>
          <w:top w:val="none" w:color="auto" w:sz="0" w:space="0"/>
          <w:bottom w:val="none" w:color="auto" w:sz="0" w:space="0"/>
        </w:pBdr>
        <w:kinsoku/>
        <w:wordWrap/>
        <w:overflowPunct/>
        <w:topLinePunct w:val="0"/>
        <w:autoSpaceDE/>
        <w:autoSpaceDN/>
        <w:bidi w:val="0"/>
        <w:adjustRightInd/>
        <w:snapToGrid/>
        <w:spacing w:after="0" w:line="610" w:lineRule="exact"/>
        <w:ind w:left="1986" w:leftChars="304" w:hanging="1336" w:hangingChars="400"/>
        <w:textAlignment w:val="auto"/>
        <w:rPr>
          <w:rFonts w:hint="eastAsia" w:ascii="Times New Roman" w:hAnsi="Times New Roman" w:eastAsia="方正仿宋_GBK" w:cs="方正仿宋_GBK"/>
          <w:spacing w:val="5"/>
          <w:sz w:val="32"/>
          <w:szCs w:val="32"/>
        </w:rPr>
      </w:pPr>
      <w:r>
        <w:rPr>
          <w:rFonts w:hint="eastAsia" w:ascii="Times New Roman" w:hAnsi="Times New Roman" w:eastAsia="方正仿宋_GBK" w:cs="方正仿宋_GBK"/>
          <w:spacing w:val="5"/>
          <w:sz w:val="32"/>
          <w:szCs w:val="32"/>
        </w:rPr>
        <w:t>附件：</w:t>
      </w:r>
      <w:r>
        <w:rPr>
          <w:rFonts w:hint="eastAsia" w:ascii="Times New Roman" w:hAnsi="Times New Roman" w:eastAsia="方正仿宋_GBK" w:cs="方正仿宋_GBK"/>
          <w:spacing w:val="5"/>
          <w:sz w:val="32"/>
          <w:szCs w:val="32"/>
          <w:lang w:val="en-US" w:eastAsia="zh-CN"/>
        </w:rPr>
        <w:t>1．</w:t>
      </w:r>
      <w:r>
        <w:rPr>
          <w:rFonts w:hint="eastAsia" w:ascii="Times New Roman" w:hAnsi="Times New Roman" w:eastAsia="方正仿宋_GBK" w:cs="方正仿宋_GBK"/>
          <w:spacing w:val="5"/>
          <w:sz w:val="32"/>
          <w:szCs w:val="32"/>
        </w:rPr>
        <w:t>202</w:t>
      </w:r>
      <w:r>
        <w:rPr>
          <w:rFonts w:hint="eastAsia" w:ascii="Times New Roman" w:hAnsi="Times New Roman" w:eastAsia="方正仿宋_GBK" w:cs="方正仿宋_GBK"/>
          <w:spacing w:val="5"/>
          <w:sz w:val="32"/>
          <w:szCs w:val="32"/>
          <w:lang w:val="en-US" w:eastAsia="zh-CN"/>
        </w:rPr>
        <w:t>5</w:t>
      </w:r>
      <w:r>
        <w:rPr>
          <w:rFonts w:hint="eastAsia" w:ascii="Times New Roman" w:hAnsi="Times New Roman" w:eastAsia="方正仿宋_GBK" w:cs="方正仿宋_GBK"/>
          <w:spacing w:val="5"/>
          <w:sz w:val="32"/>
          <w:szCs w:val="32"/>
        </w:rPr>
        <w:t>年省级财政衔接推进乡村振兴补助资金</w:t>
      </w:r>
    </w:p>
    <w:p w14:paraId="2B4341E1">
      <w:pPr>
        <w:keepNext w:val="0"/>
        <w:keepLines w:val="0"/>
        <w:pageBreakBefore w:val="0"/>
        <w:widowControl w:val="0"/>
        <w:pBdr>
          <w:top w:val="none" w:color="auto" w:sz="0" w:space="0"/>
          <w:bottom w:val="none" w:color="auto" w:sz="0" w:space="0"/>
        </w:pBdr>
        <w:kinsoku/>
        <w:wordWrap/>
        <w:overflowPunct/>
        <w:topLinePunct w:val="0"/>
        <w:autoSpaceDE/>
        <w:autoSpaceDN/>
        <w:bidi w:val="0"/>
        <w:adjustRightInd/>
        <w:snapToGrid/>
        <w:spacing w:after="0" w:line="610" w:lineRule="exact"/>
        <w:ind w:left="1951" w:leftChars="912" w:firstLine="0" w:firstLineChars="0"/>
        <w:textAlignment w:val="auto"/>
        <w:rPr>
          <w:rFonts w:hint="eastAsia" w:ascii="Times New Roman" w:hAnsi="Times New Roman" w:eastAsia="方正仿宋_GBK" w:cs="方正仿宋_GBK"/>
          <w:spacing w:val="5"/>
          <w:sz w:val="32"/>
          <w:szCs w:val="32"/>
        </w:rPr>
      </w:pPr>
      <w:r>
        <w:rPr>
          <w:rFonts w:hint="eastAsia" w:ascii="Times New Roman" w:hAnsi="Times New Roman" w:eastAsia="方正仿宋_GBK" w:cs="方正仿宋_GBK"/>
          <w:spacing w:val="5"/>
          <w:sz w:val="32"/>
          <w:szCs w:val="32"/>
          <w:lang w:eastAsia="zh-CN"/>
        </w:rPr>
        <w:t>（第二批）分配表</w:t>
      </w:r>
    </w:p>
    <w:p w14:paraId="04787FB3">
      <w:pPr>
        <w:keepNext w:val="0"/>
        <w:keepLines w:val="0"/>
        <w:pageBreakBefore w:val="0"/>
        <w:widowControl w:val="0"/>
        <w:pBdr>
          <w:top w:val="none" w:color="auto" w:sz="0" w:space="0"/>
          <w:bottom w:val="none" w:color="auto" w:sz="0" w:space="0"/>
        </w:pBdr>
        <w:kinsoku/>
        <w:wordWrap/>
        <w:overflowPunct/>
        <w:topLinePunct w:val="0"/>
        <w:autoSpaceDE/>
        <w:autoSpaceDN/>
        <w:bidi w:val="0"/>
        <w:adjustRightInd/>
        <w:snapToGrid/>
        <w:spacing w:after="0" w:line="590" w:lineRule="exact"/>
        <w:ind w:firstLine="1696" w:firstLineChars="505"/>
        <w:textAlignment w:val="auto"/>
        <w:rPr>
          <w:rFonts w:hint="eastAsia" w:ascii="Times New Roman" w:hAnsi="Times New Roman" w:eastAsia="方正仿宋_GBK" w:cs="方正仿宋_GBK"/>
          <w:spacing w:val="6"/>
          <w:sz w:val="32"/>
          <w:szCs w:val="32"/>
          <w:lang w:eastAsia="zh-CN"/>
        </w:rPr>
      </w:pPr>
      <w:r>
        <w:rPr>
          <w:rFonts w:hint="eastAsia" w:ascii="Times New Roman" w:hAnsi="Times New Roman" w:eastAsia="方正仿宋_GBK" w:cs="方正仿宋_GBK"/>
          <w:spacing w:val="6"/>
          <w:sz w:val="32"/>
          <w:szCs w:val="32"/>
        </w:rPr>
        <w:t>2</w:t>
      </w:r>
      <w:r>
        <w:rPr>
          <w:rFonts w:hint="eastAsia" w:ascii="Times New Roman" w:hAnsi="Times New Roman" w:eastAsia="方正仿宋_GBK" w:cs="方正仿宋_GBK"/>
          <w:spacing w:val="6"/>
          <w:sz w:val="32"/>
          <w:szCs w:val="32"/>
          <w:lang w:eastAsia="zh-CN"/>
        </w:rPr>
        <w:t>．</w:t>
      </w:r>
      <w:r>
        <w:rPr>
          <w:rFonts w:hint="eastAsia" w:ascii="Times New Roman" w:hAnsi="Times New Roman" w:eastAsia="方正仿宋_GBK" w:cs="方正仿宋_GBK"/>
          <w:spacing w:val="6"/>
          <w:sz w:val="32"/>
          <w:szCs w:val="32"/>
        </w:rPr>
        <w:t>202</w:t>
      </w:r>
      <w:r>
        <w:rPr>
          <w:rFonts w:hint="eastAsia" w:ascii="Times New Roman" w:hAnsi="Times New Roman" w:eastAsia="方正仿宋_GBK" w:cs="方正仿宋_GBK"/>
          <w:spacing w:val="6"/>
          <w:sz w:val="32"/>
          <w:szCs w:val="32"/>
          <w:lang w:val="en-US" w:eastAsia="zh-CN"/>
        </w:rPr>
        <w:t>5</w:t>
      </w:r>
      <w:r>
        <w:rPr>
          <w:rFonts w:hint="eastAsia" w:ascii="Times New Roman" w:hAnsi="Times New Roman" w:eastAsia="方正仿宋_GBK" w:cs="方正仿宋_GBK"/>
          <w:spacing w:val="6"/>
          <w:sz w:val="32"/>
          <w:szCs w:val="32"/>
        </w:rPr>
        <w:t>年省级财政衔接推进乡村振兴补助资</w:t>
      </w:r>
      <w:r>
        <w:rPr>
          <w:rFonts w:hint="eastAsia" w:ascii="Times New Roman" w:hAnsi="Times New Roman" w:eastAsia="方正仿宋_GBK" w:cs="方正仿宋_GBK"/>
          <w:spacing w:val="6"/>
          <w:sz w:val="32"/>
          <w:szCs w:val="32"/>
          <w:lang w:eastAsia="zh-CN"/>
        </w:rPr>
        <w:t>金</w:t>
      </w:r>
    </w:p>
    <w:p w14:paraId="283D8200">
      <w:pPr>
        <w:keepNext w:val="0"/>
        <w:keepLines w:val="0"/>
        <w:pageBreakBefore w:val="0"/>
        <w:widowControl w:val="0"/>
        <w:pBdr>
          <w:top w:val="none" w:color="auto" w:sz="0" w:space="0"/>
          <w:bottom w:val="none" w:color="auto" w:sz="0" w:space="0"/>
        </w:pBdr>
        <w:kinsoku/>
        <w:wordWrap/>
        <w:overflowPunct/>
        <w:topLinePunct w:val="0"/>
        <w:autoSpaceDE/>
        <w:autoSpaceDN/>
        <w:bidi w:val="0"/>
        <w:adjustRightInd/>
        <w:snapToGrid/>
        <w:spacing w:after="0" w:line="590" w:lineRule="exact"/>
        <w:ind w:firstLine="2032" w:firstLineChars="605"/>
        <w:textAlignment w:val="auto"/>
        <w:rPr>
          <w:rFonts w:hint="eastAsia" w:ascii="Times New Roman" w:hAnsi="Times New Roman" w:eastAsia="方正仿宋_GBK" w:cs="方正仿宋_GBK"/>
          <w:spacing w:val="6"/>
          <w:sz w:val="32"/>
          <w:szCs w:val="32"/>
        </w:rPr>
      </w:pPr>
      <w:r>
        <w:rPr>
          <w:rFonts w:hint="eastAsia" w:ascii="Times New Roman" w:hAnsi="Times New Roman" w:eastAsia="方正仿宋_GBK" w:cs="方正仿宋_GBK"/>
          <w:spacing w:val="6"/>
          <w:sz w:val="32"/>
          <w:szCs w:val="32"/>
          <w:lang w:eastAsia="zh-CN"/>
        </w:rPr>
        <w:t>（第二批）</w:t>
      </w:r>
      <w:r>
        <w:rPr>
          <w:rFonts w:hint="eastAsia" w:ascii="Times New Roman" w:hAnsi="Times New Roman" w:eastAsia="方正仿宋_GBK" w:cs="方正仿宋_GBK"/>
          <w:spacing w:val="6"/>
          <w:sz w:val="32"/>
          <w:szCs w:val="32"/>
        </w:rPr>
        <w:t>绩效目标表</w:t>
      </w:r>
    </w:p>
    <w:p w14:paraId="6242CAA0">
      <w:pPr>
        <w:keepNext w:val="0"/>
        <w:keepLines w:val="0"/>
        <w:pageBreakBefore w:val="0"/>
        <w:widowControl w:val="0"/>
        <w:pBdr>
          <w:top w:val="none" w:color="auto" w:sz="0" w:space="0"/>
          <w:bottom w:val="none" w:color="auto" w:sz="0" w:space="0"/>
        </w:pBdr>
        <w:kinsoku/>
        <w:wordWrap/>
        <w:overflowPunct/>
        <w:topLinePunct w:val="0"/>
        <w:autoSpaceDE/>
        <w:autoSpaceDN/>
        <w:bidi w:val="0"/>
        <w:adjustRightInd/>
        <w:snapToGrid/>
        <w:spacing w:after="0" w:line="590" w:lineRule="exact"/>
        <w:ind w:firstLine="2032" w:firstLineChars="605"/>
        <w:textAlignment w:val="auto"/>
        <w:rPr>
          <w:rFonts w:hint="eastAsia" w:ascii="Times New Roman" w:hAnsi="Times New Roman" w:eastAsia="方正仿宋_GBK" w:cs="方正仿宋_GBK"/>
          <w:spacing w:val="6"/>
          <w:sz w:val="32"/>
          <w:szCs w:val="32"/>
        </w:rPr>
      </w:pPr>
    </w:p>
    <w:p w14:paraId="6EEA4309">
      <w:pPr>
        <w:pStyle w:val="2"/>
        <w:keepNext w:val="0"/>
        <w:keepLines w:val="0"/>
        <w:pageBreakBefore w:val="0"/>
        <w:widowControl w:val="0"/>
        <w:pBdr>
          <w:top w:val="none" w:color="auto" w:sz="0" w:space="0"/>
          <w:bottom w:val="none" w:color="auto" w:sz="0" w:space="0"/>
        </w:pBdr>
        <w:kinsoku/>
        <w:wordWrap/>
        <w:overflowPunct/>
        <w:topLinePunct w:val="0"/>
        <w:autoSpaceDE/>
        <w:autoSpaceDN/>
        <w:bidi w:val="0"/>
        <w:adjustRightInd/>
        <w:snapToGrid/>
        <w:spacing w:after="0" w:line="590" w:lineRule="exact"/>
        <w:ind w:left="0" w:leftChars="0" w:right="856" w:rightChars="400" w:firstLine="0" w:firstLineChars="0"/>
        <w:textAlignment w:val="auto"/>
        <w:rPr>
          <w:rFonts w:hint="eastAsia" w:ascii="Times New Roman" w:hAnsi="Times New Roman" w:eastAsia="方正仿宋_GBK" w:cs="方正仿宋_GBK"/>
          <w:spacing w:val="6"/>
          <w:sz w:val="32"/>
          <w:szCs w:val="32"/>
        </w:rPr>
      </w:pPr>
      <w:bookmarkStart w:id="1" w:name="正文结束"/>
      <w:bookmarkEnd w:id="1"/>
    </w:p>
    <w:p w14:paraId="37E7E5A7">
      <w:pPr>
        <w:pStyle w:val="2"/>
        <w:keepNext w:val="0"/>
        <w:keepLines w:val="0"/>
        <w:pageBreakBefore w:val="0"/>
        <w:widowControl w:val="0"/>
        <w:pBdr>
          <w:top w:val="none" w:color="auto" w:sz="0" w:space="0"/>
          <w:bottom w:val="none" w:color="auto" w:sz="0" w:space="0"/>
        </w:pBdr>
        <w:tabs>
          <w:tab w:val="left" w:pos="7560"/>
        </w:tabs>
        <w:kinsoku/>
        <w:wordWrap/>
        <w:overflowPunct/>
        <w:topLinePunct w:val="0"/>
        <w:autoSpaceDE/>
        <w:autoSpaceDN/>
        <w:bidi w:val="0"/>
        <w:adjustRightInd/>
        <w:snapToGrid/>
        <w:spacing w:after="0" w:line="590" w:lineRule="exact"/>
        <w:ind w:left="0" w:leftChars="0" w:right="856" w:rightChars="400" w:firstLine="0" w:firstLineChars="0"/>
        <w:textAlignment w:val="auto"/>
        <w:rPr>
          <w:rFonts w:hint="eastAsia" w:ascii="Times New Roman" w:hAnsi="Times New Roman" w:eastAsia="方正仿宋_GBK" w:cs="方正仿宋_GBK"/>
          <w:spacing w:val="6"/>
          <w:sz w:val="32"/>
          <w:szCs w:val="32"/>
        </w:rPr>
      </w:pPr>
    </w:p>
    <w:p w14:paraId="5CC31EE0">
      <w:pPr>
        <w:pStyle w:val="2"/>
        <w:keepNext w:val="0"/>
        <w:keepLines w:val="0"/>
        <w:pageBreakBefore w:val="0"/>
        <w:widowControl w:val="0"/>
        <w:pBdr>
          <w:top w:val="none" w:color="auto" w:sz="0" w:space="0"/>
          <w:bottom w:val="none" w:color="auto" w:sz="0" w:space="0"/>
        </w:pBdr>
        <w:kinsoku/>
        <w:wordWrap/>
        <w:overflowPunct/>
        <w:topLinePunct w:val="0"/>
        <w:autoSpaceDE/>
        <w:autoSpaceDN/>
        <w:bidi w:val="0"/>
        <w:adjustRightInd/>
        <w:snapToGrid/>
        <w:spacing w:after="0" w:line="590" w:lineRule="exact"/>
        <w:ind w:left="0" w:leftChars="0" w:right="856" w:rightChars="400" w:firstLine="0" w:firstLineChars="0"/>
        <w:textAlignment w:val="auto"/>
        <w:rPr>
          <w:rFonts w:hint="eastAsia" w:ascii="Times New Roman" w:hAnsi="Times New Roman" w:eastAsia="方正仿宋_GBK" w:cs="方正仿宋_GBK"/>
          <w:spacing w:val="6"/>
          <w:sz w:val="32"/>
          <w:szCs w:val="32"/>
        </w:rPr>
      </w:pPr>
    </w:p>
    <w:p w14:paraId="76C026B5">
      <w:pPr>
        <w:keepNext w:val="0"/>
        <w:keepLines w:val="0"/>
        <w:pageBreakBefore w:val="0"/>
        <w:widowControl w:val="0"/>
        <w:pBdr>
          <w:top w:val="none" w:color="auto" w:sz="0" w:space="0"/>
          <w:bottom w:val="none" w:color="auto" w:sz="0" w:space="0"/>
        </w:pBdr>
        <w:kinsoku/>
        <w:wordWrap/>
        <w:overflowPunct/>
        <w:topLinePunct w:val="0"/>
        <w:autoSpaceDE/>
        <w:autoSpaceDN/>
        <w:bidi w:val="0"/>
        <w:adjustRightInd/>
        <w:snapToGrid/>
        <w:spacing w:after="0" w:line="590" w:lineRule="exact"/>
        <w:ind w:right="1122"/>
        <w:jc w:val="center"/>
        <w:textAlignment w:val="auto"/>
        <w:rPr>
          <w:rFonts w:hint="eastAsia" w:ascii="Times New Roman" w:hAnsi="Times New Roman" w:eastAsia="方正仿宋_GBK" w:cs="方正仿宋_GBK"/>
          <w:spacing w:val="6"/>
          <w:sz w:val="32"/>
          <w:szCs w:val="32"/>
          <w:lang w:val="en-US" w:eastAsia="zh-CN"/>
        </w:rPr>
      </w:pPr>
      <w:bookmarkStart w:id="2" w:name="GWDocEnd"/>
      <w:bookmarkEnd w:id="2"/>
      <w:r>
        <w:rPr>
          <w:rFonts w:hint="eastAsia" w:ascii="Times New Roman" w:hAnsi="Times New Roman" w:eastAsia="方正仿宋_GBK" w:cs="方正仿宋_GBK"/>
          <w:spacing w:val="6"/>
          <w:sz w:val="32"/>
          <w:szCs w:val="32"/>
          <w:lang w:val="en-US" w:eastAsia="zh-CN"/>
        </w:rPr>
        <w:t xml:space="preserve">                         </w:t>
      </w:r>
      <w:r>
        <w:rPr>
          <w:rFonts w:hint="eastAsia" w:ascii="Times New Roman" w:hAnsi="Times New Roman" w:eastAsia="方正仿宋_GBK" w:cs="方正仿宋_GBK"/>
          <w:spacing w:val="6"/>
          <w:sz w:val="32"/>
          <w:szCs w:val="32"/>
          <w:lang w:eastAsia="zh-CN"/>
        </w:rPr>
        <w:t>202</w:t>
      </w:r>
      <w:r>
        <w:rPr>
          <w:rFonts w:hint="eastAsia" w:ascii="Times New Roman" w:hAnsi="Times New Roman" w:eastAsia="方正仿宋_GBK" w:cs="方正仿宋_GBK"/>
          <w:spacing w:val="6"/>
          <w:sz w:val="32"/>
          <w:szCs w:val="32"/>
          <w:lang w:val="en-US" w:eastAsia="zh-CN"/>
        </w:rPr>
        <w:t>5</w:t>
      </w:r>
      <w:r>
        <w:rPr>
          <w:rFonts w:hint="eastAsia" w:ascii="Times New Roman" w:hAnsi="Times New Roman" w:eastAsia="方正仿宋_GBK" w:cs="方正仿宋_GBK"/>
          <w:spacing w:val="6"/>
          <w:sz w:val="32"/>
          <w:szCs w:val="32"/>
          <w:lang w:eastAsia="zh-CN"/>
        </w:rPr>
        <w:t>年</w:t>
      </w:r>
      <w:r>
        <w:rPr>
          <w:rFonts w:hint="eastAsia" w:ascii="Times New Roman" w:hAnsi="Times New Roman" w:eastAsia="方正仿宋_GBK" w:cs="方正仿宋_GBK"/>
          <w:spacing w:val="6"/>
          <w:sz w:val="32"/>
          <w:szCs w:val="32"/>
          <w:lang w:val="en-US" w:eastAsia="zh-CN"/>
        </w:rPr>
        <w:t>4</w:t>
      </w:r>
      <w:r>
        <w:rPr>
          <w:rFonts w:hint="eastAsia" w:ascii="Times New Roman" w:hAnsi="Times New Roman" w:eastAsia="方正仿宋_GBK" w:cs="方正仿宋_GBK"/>
          <w:spacing w:val="6"/>
          <w:sz w:val="32"/>
          <w:szCs w:val="32"/>
          <w:lang w:eastAsia="zh-CN"/>
        </w:rPr>
        <w:t>月</w:t>
      </w:r>
      <w:r>
        <w:rPr>
          <w:rFonts w:hint="eastAsia" w:ascii="Times New Roman" w:hAnsi="Times New Roman" w:eastAsia="方正仿宋_GBK" w:cs="方正仿宋_GBK"/>
          <w:spacing w:val="6"/>
          <w:sz w:val="32"/>
          <w:szCs w:val="32"/>
          <w:lang w:val="en-US" w:eastAsia="zh-CN"/>
        </w:rPr>
        <w:t>14</w:t>
      </w:r>
      <w:r>
        <w:rPr>
          <w:rFonts w:hint="eastAsia" w:ascii="Times New Roman" w:hAnsi="Times New Roman" w:eastAsia="方正仿宋_GBK" w:cs="方正仿宋_GBK"/>
          <w:spacing w:val="6"/>
          <w:sz w:val="32"/>
          <w:szCs w:val="32"/>
          <w:lang w:eastAsia="zh-CN"/>
        </w:rPr>
        <w:t>日</w:t>
      </w:r>
    </w:p>
    <w:p w14:paraId="737B8FBF">
      <w:pPr>
        <w:pStyle w:val="2"/>
      </w:pPr>
    </w:p>
    <w:p w14:paraId="4D248DDA"/>
    <w:p w14:paraId="5AD7EEE4">
      <w:pPr>
        <w:pStyle w:val="2"/>
      </w:pPr>
    </w:p>
    <w:p w14:paraId="15D3DBB9"/>
    <w:p w14:paraId="3D696E0A"/>
    <w:p w14:paraId="444D4C57">
      <w:pPr>
        <w:pStyle w:val="2"/>
      </w:pPr>
    </w:p>
    <w:p w14:paraId="7C4F1C7B"/>
    <w:p w14:paraId="7ED9AB57">
      <w:pPr>
        <w:pStyle w:val="2"/>
      </w:pPr>
    </w:p>
    <w:p w14:paraId="2B6997CE">
      <w:pPr>
        <w:sectPr>
          <w:footerReference r:id="rId3" w:type="default"/>
          <w:footerReference r:id="rId4" w:type="even"/>
          <w:pgSz w:w="11906" w:h="16838"/>
          <w:pgMar w:top="2041" w:right="1474" w:bottom="1304" w:left="1587" w:header="1361" w:footer="1191" w:gutter="0"/>
          <w:pgNumType w:fmt="decimal"/>
          <w:cols w:space="0" w:num="1"/>
          <w:rtlGutter w:val="0"/>
          <w:docGrid w:type="linesAndChars" w:linePitch="315" w:charSpace="950"/>
        </w:sectPr>
      </w:pPr>
    </w:p>
    <w:p w14:paraId="7D4031B3">
      <w:pPr>
        <w:pStyle w:val="2"/>
        <w:ind w:left="0" w:leftChars="0" w:firstLine="0" w:firstLineChars="0"/>
        <w:rPr>
          <w:rFonts w:hint="eastAsia"/>
          <w:lang w:val="en-US" w:eastAsia="zh-CN"/>
        </w:rPr>
      </w:pPr>
      <w:r>
        <w:rPr>
          <w:rFonts w:hint="eastAsia" w:ascii="方正黑体_GBK" w:hAnsi="方正黑体_GBK" w:eastAsia="方正黑体_GBK" w:cs="方正黑体_GBK"/>
          <w:lang w:eastAsia="zh-CN"/>
        </w:rPr>
        <w:t>附件</w:t>
      </w:r>
      <w:r>
        <w:rPr>
          <w:rFonts w:hint="eastAsia"/>
          <w:lang w:val="en-US" w:eastAsia="zh-CN"/>
        </w:rPr>
        <w:t>1</w:t>
      </w:r>
    </w:p>
    <w:tbl>
      <w:tblPr>
        <w:tblStyle w:val="5"/>
        <w:tblW w:w="1400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90"/>
        <w:gridCol w:w="1725"/>
        <w:gridCol w:w="1275"/>
        <w:gridCol w:w="1440"/>
        <w:gridCol w:w="2610"/>
        <w:gridCol w:w="2835"/>
        <w:gridCol w:w="1440"/>
        <w:gridCol w:w="1485"/>
      </w:tblGrid>
      <w:tr w14:paraId="409821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14000" w:type="dxa"/>
            <w:gridSpan w:val="8"/>
            <w:tcBorders>
              <w:top w:val="nil"/>
              <w:left w:val="nil"/>
              <w:bottom w:val="nil"/>
              <w:right w:val="nil"/>
            </w:tcBorders>
            <w:shd w:val="clear" w:color="auto" w:fill="auto"/>
            <w:vAlign w:val="center"/>
          </w:tcPr>
          <w:p w14:paraId="2DA5FE63">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方正小标宋_GBK" w:hAnsi="方正小标宋_GBK" w:eastAsia="方正小标宋_GBK" w:cs="方正小标宋_GBK"/>
                <w:b w:val="0"/>
                <w:bCs w:val="0"/>
                <w:i w:val="0"/>
                <w:iCs w:val="0"/>
                <w:color w:val="000000"/>
                <w:kern w:val="0"/>
                <w:sz w:val="40"/>
                <w:szCs w:val="40"/>
                <w:u w:val="none"/>
                <w:lang w:val="en-US" w:eastAsia="zh-CN" w:bidi="ar"/>
              </w:rPr>
              <w:t>2025年省级财政衔接推进乡村振兴补助资金（第二批）分配表</w:t>
            </w:r>
          </w:p>
        </w:tc>
      </w:tr>
      <w:tr w14:paraId="409203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1190" w:type="dxa"/>
            <w:tcBorders>
              <w:top w:val="nil"/>
              <w:left w:val="nil"/>
              <w:bottom w:val="nil"/>
              <w:right w:val="nil"/>
            </w:tcBorders>
            <w:shd w:val="clear" w:color="auto" w:fill="auto"/>
            <w:noWrap/>
            <w:vAlign w:val="center"/>
          </w:tcPr>
          <w:p w14:paraId="3D21BDCB">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方正仿宋_GBK" w:cs="Times New Roman"/>
                <w:i w:val="0"/>
                <w:iCs w:val="0"/>
                <w:color w:val="000000"/>
                <w:sz w:val="24"/>
                <w:szCs w:val="24"/>
                <w:u w:val="none"/>
              </w:rPr>
            </w:pPr>
          </w:p>
        </w:tc>
        <w:tc>
          <w:tcPr>
            <w:tcW w:w="1725" w:type="dxa"/>
            <w:tcBorders>
              <w:top w:val="nil"/>
              <w:left w:val="nil"/>
              <w:bottom w:val="nil"/>
              <w:right w:val="nil"/>
            </w:tcBorders>
            <w:shd w:val="clear" w:color="auto" w:fill="auto"/>
            <w:vAlign w:val="center"/>
          </w:tcPr>
          <w:p w14:paraId="33BDE920">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方正仿宋_GBK" w:cs="Times New Roman"/>
                <w:i w:val="0"/>
                <w:iCs w:val="0"/>
                <w:color w:val="000000"/>
                <w:sz w:val="24"/>
                <w:szCs w:val="24"/>
                <w:u w:val="none"/>
              </w:rPr>
            </w:pPr>
          </w:p>
        </w:tc>
        <w:tc>
          <w:tcPr>
            <w:tcW w:w="1275" w:type="dxa"/>
            <w:tcBorders>
              <w:top w:val="nil"/>
              <w:left w:val="nil"/>
              <w:bottom w:val="nil"/>
              <w:right w:val="nil"/>
            </w:tcBorders>
            <w:shd w:val="clear" w:color="auto" w:fill="auto"/>
            <w:noWrap/>
            <w:vAlign w:val="center"/>
          </w:tcPr>
          <w:p w14:paraId="534C07E9">
            <w:pPr>
              <w:keepNext w:val="0"/>
              <w:keepLines w:val="0"/>
              <w:pageBreakBefore w:val="0"/>
              <w:widowControl/>
              <w:kinsoku/>
              <w:wordWrap/>
              <w:overflowPunct/>
              <w:topLinePunct w:val="0"/>
              <w:autoSpaceDE/>
              <w:autoSpaceDN/>
              <w:bidi w:val="0"/>
              <w:adjustRightInd/>
              <w:snapToGrid/>
              <w:spacing w:line="400" w:lineRule="exact"/>
              <w:jc w:val="right"/>
              <w:rPr>
                <w:rFonts w:hint="default" w:ascii="Times New Roman" w:hAnsi="Times New Roman" w:eastAsia="方正仿宋_GBK" w:cs="Times New Roman"/>
                <w:i w:val="0"/>
                <w:iCs w:val="0"/>
                <w:color w:val="000000"/>
                <w:sz w:val="24"/>
                <w:szCs w:val="24"/>
                <w:u w:val="none"/>
              </w:rPr>
            </w:pPr>
          </w:p>
        </w:tc>
        <w:tc>
          <w:tcPr>
            <w:tcW w:w="1440" w:type="dxa"/>
            <w:tcBorders>
              <w:top w:val="nil"/>
              <w:left w:val="nil"/>
              <w:bottom w:val="nil"/>
              <w:right w:val="nil"/>
            </w:tcBorders>
            <w:shd w:val="clear" w:color="auto" w:fill="auto"/>
            <w:noWrap/>
            <w:vAlign w:val="center"/>
          </w:tcPr>
          <w:p w14:paraId="525954A7">
            <w:pPr>
              <w:keepNext w:val="0"/>
              <w:keepLines w:val="0"/>
              <w:pageBreakBefore w:val="0"/>
              <w:widowControl/>
              <w:kinsoku/>
              <w:wordWrap/>
              <w:overflowPunct/>
              <w:topLinePunct w:val="0"/>
              <w:autoSpaceDE/>
              <w:autoSpaceDN/>
              <w:bidi w:val="0"/>
              <w:adjustRightInd/>
              <w:snapToGrid/>
              <w:spacing w:line="400" w:lineRule="exact"/>
              <w:jc w:val="right"/>
              <w:rPr>
                <w:rFonts w:hint="default" w:ascii="Times New Roman" w:hAnsi="Times New Roman" w:eastAsia="方正仿宋_GBK" w:cs="Times New Roman"/>
                <w:i w:val="0"/>
                <w:iCs w:val="0"/>
                <w:color w:val="000000"/>
                <w:sz w:val="24"/>
                <w:szCs w:val="24"/>
                <w:u w:val="none"/>
              </w:rPr>
            </w:pPr>
          </w:p>
        </w:tc>
        <w:tc>
          <w:tcPr>
            <w:tcW w:w="2610" w:type="dxa"/>
            <w:tcBorders>
              <w:top w:val="nil"/>
              <w:left w:val="nil"/>
              <w:bottom w:val="nil"/>
              <w:right w:val="nil"/>
            </w:tcBorders>
            <w:shd w:val="clear" w:color="auto" w:fill="auto"/>
            <w:noWrap/>
            <w:vAlign w:val="center"/>
          </w:tcPr>
          <w:p w14:paraId="45A56033">
            <w:pPr>
              <w:keepNext w:val="0"/>
              <w:keepLines w:val="0"/>
              <w:pageBreakBefore w:val="0"/>
              <w:widowControl/>
              <w:kinsoku/>
              <w:wordWrap/>
              <w:overflowPunct/>
              <w:topLinePunct w:val="0"/>
              <w:autoSpaceDE/>
              <w:autoSpaceDN/>
              <w:bidi w:val="0"/>
              <w:adjustRightInd/>
              <w:snapToGrid/>
              <w:spacing w:line="400" w:lineRule="exact"/>
              <w:jc w:val="right"/>
              <w:rPr>
                <w:rFonts w:hint="default" w:ascii="Times New Roman" w:hAnsi="Times New Roman" w:eastAsia="方正仿宋_GBK" w:cs="Times New Roman"/>
                <w:i w:val="0"/>
                <w:iCs w:val="0"/>
                <w:color w:val="000000"/>
                <w:sz w:val="24"/>
                <w:szCs w:val="24"/>
                <w:u w:val="none"/>
              </w:rPr>
            </w:pPr>
          </w:p>
        </w:tc>
        <w:tc>
          <w:tcPr>
            <w:tcW w:w="2835" w:type="dxa"/>
            <w:tcBorders>
              <w:top w:val="nil"/>
              <w:left w:val="nil"/>
              <w:bottom w:val="nil"/>
              <w:right w:val="nil"/>
            </w:tcBorders>
            <w:shd w:val="clear" w:color="auto" w:fill="auto"/>
            <w:noWrap/>
            <w:vAlign w:val="center"/>
          </w:tcPr>
          <w:p w14:paraId="62697F74">
            <w:pPr>
              <w:keepNext w:val="0"/>
              <w:keepLines w:val="0"/>
              <w:pageBreakBefore w:val="0"/>
              <w:widowControl/>
              <w:kinsoku/>
              <w:wordWrap/>
              <w:overflowPunct/>
              <w:topLinePunct w:val="0"/>
              <w:autoSpaceDE/>
              <w:autoSpaceDN/>
              <w:bidi w:val="0"/>
              <w:adjustRightInd/>
              <w:snapToGrid/>
              <w:spacing w:line="400" w:lineRule="exact"/>
              <w:jc w:val="right"/>
              <w:rPr>
                <w:rFonts w:hint="default" w:ascii="Times New Roman" w:hAnsi="Times New Roman" w:eastAsia="方正仿宋_GBK" w:cs="Times New Roman"/>
                <w:i w:val="0"/>
                <w:iCs w:val="0"/>
                <w:color w:val="000000"/>
                <w:sz w:val="24"/>
                <w:szCs w:val="24"/>
                <w:u w:val="none"/>
              </w:rPr>
            </w:pPr>
          </w:p>
        </w:tc>
        <w:tc>
          <w:tcPr>
            <w:tcW w:w="2925" w:type="dxa"/>
            <w:gridSpan w:val="2"/>
            <w:tcBorders>
              <w:top w:val="nil"/>
              <w:left w:val="nil"/>
              <w:bottom w:val="nil"/>
              <w:right w:val="nil"/>
            </w:tcBorders>
            <w:shd w:val="clear" w:color="auto" w:fill="auto"/>
            <w:noWrap/>
            <w:vAlign w:val="center"/>
          </w:tcPr>
          <w:p w14:paraId="2141DD0D">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center"/>
              <w:rPr>
                <w:rFonts w:hint="default" w:ascii="Times New Roman" w:hAnsi="Times New Roman" w:eastAsia="方正仿宋_GBK" w:cs="Times New Roman"/>
                <w:b/>
                <w:bCs/>
                <w:i w:val="0"/>
                <w:iCs w:val="0"/>
                <w:color w:val="000000"/>
                <w:sz w:val="24"/>
                <w:szCs w:val="24"/>
                <w:u w:val="none"/>
              </w:rPr>
            </w:pPr>
            <w:r>
              <w:rPr>
                <w:rFonts w:hint="default" w:ascii="Times New Roman" w:hAnsi="Times New Roman" w:eastAsia="方正仿宋_GBK" w:cs="Times New Roman"/>
                <w:b/>
                <w:bCs/>
                <w:i w:val="0"/>
                <w:iCs w:val="0"/>
                <w:color w:val="000000"/>
                <w:kern w:val="0"/>
                <w:sz w:val="24"/>
                <w:szCs w:val="24"/>
                <w:u w:val="none"/>
                <w:lang w:val="en-US" w:eastAsia="zh-CN" w:bidi="ar"/>
              </w:rPr>
              <w:t>单位：万元</w:t>
            </w:r>
          </w:p>
        </w:tc>
      </w:tr>
      <w:tr w14:paraId="1466F2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11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517742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b/>
                <w:bCs/>
                <w:i w:val="0"/>
                <w:iCs w:val="0"/>
                <w:color w:val="000000"/>
                <w:sz w:val="24"/>
                <w:szCs w:val="24"/>
                <w:u w:val="none"/>
              </w:rPr>
            </w:pPr>
            <w:r>
              <w:rPr>
                <w:rFonts w:hint="default" w:ascii="Times New Roman" w:hAnsi="Times New Roman" w:eastAsia="方正仿宋_GBK" w:cs="Times New Roman"/>
                <w:b/>
                <w:bCs/>
                <w:i w:val="0"/>
                <w:iCs w:val="0"/>
                <w:color w:val="000000"/>
                <w:kern w:val="0"/>
                <w:sz w:val="24"/>
                <w:szCs w:val="24"/>
                <w:u w:val="none"/>
                <w:lang w:val="en-US" w:eastAsia="zh-CN" w:bidi="ar"/>
              </w:rPr>
              <w:t>序号</w:t>
            </w:r>
          </w:p>
        </w:tc>
        <w:tc>
          <w:tcPr>
            <w:tcW w:w="17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7B7456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b/>
                <w:bCs/>
                <w:i w:val="0"/>
                <w:iCs w:val="0"/>
                <w:color w:val="000000"/>
                <w:sz w:val="24"/>
                <w:szCs w:val="24"/>
                <w:u w:val="none"/>
              </w:rPr>
            </w:pPr>
            <w:r>
              <w:rPr>
                <w:rFonts w:hint="default" w:ascii="Times New Roman" w:hAnsi="Times New Roman" w:eastAsia="方正仿宋_GBK" w:cs="Times New Roman"/>
                <w:b/>
                <w:bCs/>
                <w:i w:val="0"/>
                <w:iCs w:val="0"/>
                <w:color w:val="000000"/>
                <w:kern w:val="0"/>
                <w:sz w:val="24"/>
                <w:szCs w:val="24"/>
                <w:u w:val="none"/>
                <w:lang w:val="en-US" w:eastAsia="zh-CN" w:bidi="ar"/>
              </w:rPr>
              <w:t>地区</w:t>
            </w:r>
          </w:p>
        </w:tc>
        <w:tc>
          <w:tcPr>
            <w:tcW w:w="12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44A0AC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b/>
                <w:bCs/>
                <w:i w:val="0"/>
                <w:iCs w:val="0"/>
                <w:color w:val="000000"/>
                <w:sz w:val="24"/>
                <w:szCs w:val="24"/>
                <w:u w:val="none"/>
              </w:rPr>
            </w:pPr>
            <w:r>
              <w:rPr>
                <w:rFonts w:hint="default" w:ascii="Times New Roman" w:hAnsi="Times New Roman" w:eastAsia="方正仿宋_GBK" w:cs="Times New Roman"/>
                <w:b/>
                <w:bCs/>
                <w:i w:val="0"/>
                <w:iCs w:val="0"/>
                <w:color w:val="000000"/>
                <w:kern w:val="0"/>
                <w:sz w:val="24"/>
                <w:szCs w:val="24"/>
                <w:u w:val="none"/>
                <w:lang w:val="en-US" w:eastAsia="zh-CN" w:bidi="ar"/>
              </w:rPr>
              <w:t>合计</w:t>
            </w:r>
          </w:p>
        </w:tc>
        <w:tc>
          <w:tcPr>
            <w:tcW w:w="688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2C8378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b/>
                <w:bCs/>
                <w:i w:val="0"/>
                <w:iCs w:val="0"/>
                <w:color w:val="000000"/>
                <w:sz w:val="24"/>
                <w:szCs w:val="24"/>
                <w:u w:val="none"/>
              </w:rPr>
            </w:pPr>
            <w:r>
              <w:rPr>
                <w:rFonts w:hint="default" w:ascii="Times New Roman" w:hAnsi="Times New Roman" w:eastAsia="方正仿宋_GBK" w:cs="Times New Roman"/>
                <w:b/>
                <w:bCs/>
                <w:i w:val="0"/>
                <w:iCs w:val="0"/>
                <w:color w:val="000000"/>
                <w:kern w:val="0"/>
                <w:sz w:val="24"/>
                <w:szCs w:val="24"/>
                <w:u w:val="none"/>
                <w:lang w:val="en-US" w:eastAsia="zh-CN" w:bidi="ar"/>
              </w:rPr>
              <w:t>巩固拓展脱贫攻坚成果和乡村振兴任务</w:t>
            </w:r>
          </w:p>
        </w:tc>
        <w:tc>
          <w:tcPr>
            <w:tcW w:w="14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22B9CC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b/>
                <w:bCs/>
                <w:i w:val="0"/>
                <w:iCs w:val="0"/>
                <w:color w:val="000000"/>
                <w:sz w:val="24"/>
                <w:szCs w:val="24"/>
                <w:u w:val="none"/>
              </w:rPr>
            </w:pPr>
            <w:r>
              <w:rPr>
                <w:rFonts w:hint="default" w:ascii="Times New Roman" w:hAnsi="Times New Roman" w:eastAsia="方正仿宋_GBK" w:cs="Times New Roman"/>
                <w:b/>
                <w:bCs/>
                <w:i w:val="0"/>
                <w:iCs w:val="0"/>
                <w:color w:val="000000"/>
                <w:kern w:val="0"/>
                <w:sz w:val="24"/>
                <w:szCs w:val="24"/>
                <w:u w:val="none"/>
                <w:lang w:val="en-US" w:eastAsia="zh-CN" w:bidi="ar"/>
              </w:rPr>
              <w:t>少数民族发展任务</w:t>
            </w:r>
          </w:p>
        </w:tc>
        <w:tc>
          <w:tcPr>
            <w:tcW w:w="14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9E5FBB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b/>
                <w:bCs/>
                <w:i w:val="0"/>
                <w:iCs w:val="0"/>
                <w:color w:val="000000"/>
                <w:sz w:val="24"/>
                <w:szCs w:val="24"/>
                <w:u w:val="none"/>
              </w:rPr>
            </w:pPr>
            <w:r>
              <w:rPr>
                <w:rFonts w:hint="default" w:ascii="Times New Roman" w:hAnsi="Times New Roman" w:eastAsia="方正仿宋_GBK" w:cs="Times New Roman"/>
                <w:b/>
                <w:bCs/>
                <w:i w:val="0"/>
                <w:iCs w:val="0"/>
                <w:color w:val="000000"/>
                <w:kern w:val="0"/>
                <w:sz w:val="24"/>
                <w:szCs w:val="24"/>
                <w:u w:val="none"/>
                <w:lang w:val="en-US" w:eastAsia="zh-CN" w:bidi="ar"/>
              </w:rPr>
              <w:t>备注</w:t>
            </w:r>
          </w:p>
        </w:tc>
      </w:tr>
      <w:tr w14:paraId="39AA4A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1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8027AA">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方正仿宋_GBK" w:cs="Times New Roman"/>
                <w:b/>
                <w:bCs/>
                <w:i w:val="0"/>
                <w:iCs w:val="0"/>
                <w:color w:val="000000"/>
                <w:sz w:val="24"/>
                <w:szCs w:val="24"/>
                <w:u w:val="none"/>
              </w:rPr>
            </w:pPr>
          </w:p>
        </w:tc>
        <w:tc>
          <w:tcPr>
            <w:tcW w:w="17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A7786C">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方正仿宋_GBK" w:cs="Times New Roman"/>
                <w:b/>
                <w:bCs/>
                <w:i w:val="0"/>
                <w:iCs w:val="0"/>
                <w:color w:val="000000"/>
                <w:sz w:val="24"/>
                <w:szCs w:val="24"/>
                <w:u w:val="none"/>
              </w:rPr>
            </w:pPr>
          </w:p>
        </w:tc>
        <w:tc>
          <w:tcPr>
            <w:tcW w:w="12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EFF961">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方正仿宋_GBK" w:cs="Times New Roman"/>
                <w:b/>
                <w:bCs/>
                <w:i w:val="0"/>
                <w:iCs w:val="0"/>
                <w:color w:val="000000"/>
                <w:sz w:val="24"/>
                <w:szCs w:val="24"/>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A26D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b/>
                <w:bCs/>
                <w:i w:val="0"/>
                <w:iCs w:val="0"/>
                <w:color w:val="000000"/>
                <w:sz w:val="24"/>
                <w:szCs w:val="24"/>
                <w:u w:val="none"/>
              </w:rPr>
            </w:pPr>
            <w:r>
              <w:rPr>
                <w:rFonts w:hint="default" w:ascii="Times New Roman" w:hAnsi="Times New Roman" w:eastAsia="方正仿宋_GBK" w:cs="Times New Roman"/>
                <w:b/>
                <w:bCs/>
                <w:i w:val="0"/>
                <w:iCs w:val="0"/>
                <w:color w:val="000000"/>
                <w:kern w:val="0"/>
                <w:sz w:val="24"/>
                <w:szCs w:val="24"/>
                <w:u w:val="none"/>
                <w:lang w:val="en-US" w:eastAsia="zh-CN" w:bidi="ar"/>
              </w:rPr>
              <w:t>小计</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8EB3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b/>
                <w:bCs/>
                <w:i w:val="0"/>
                <w:iCs w:val="0"/>
                <w:color w:val="000000"/>
                <w:sz w:val="24"/>
                <w:szCs w:val="24"/>
                <w:u w:val="none"/>
              </w:rPr>
            </w:pPr>
            <w:r>
              <w:rPr>
                <w:rFonts w:hint="default" w:ascii="Times New Roman" w:hAnsi="Times New Roman" w:eastAsia="方正仿宋_GBK" w:cs="Times New Roman"/>
                <w:b/>
                <w:bCs/>
                <w:i w:val="0"/>
                <w:iCs w:val="0"/>
                <w:color w:val="000000"/>
                <w:kern w:val="0"/>
                <w:sz w:val="24"/>
                <w:szCs w:val="24"/>
                <w:u w:val="none"/>
                <w:lang w:val="en-US" w:eastAsia="zh-CN" w:bidi="ar"/>
              </w:rPr>
              <w:t>2025年易地扶贫搬迁安置区以奖代补</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C947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b/>
                <w:bCs/>
                <w:i w:val="0"/>
                <w:iCs w:val="0"/>
                <w:color w:val="000000"/>
                <w:sz w:val="24"/>
                <w:szCs w:val="24"/>
                <w:u w:val="none"/>
              </w:rPr>
            </w:pPr>
            <w:r>
              <w:rPr>
                <w:rFonts w:hint="default" w:ascii="Times New Roman" w:hAnsi="Times New Roman" w:eastAsia="方正仿宋_GBK" w:cs="Times New Roman"/>
                <w:b/>
                <w:bCs/>
                <w:i w:val="0"/>
                <w:iCs w:val="0"/>
                <w:color w:val="000000"/>
                <w:kern w:val="0"/>
                <w:sz w:val="24"/>
                <w:szCs w:val="24"/>
                <w:u w:val="none"/>
                <w:lang w:val="en-US" w:eastAsia="zh-CN" w:bidi="ar"/>
              </w:rPr>
              <w:t>2024年度易地扶贫搬迁进城大型安置区水电物业费减免补贴</w:t>
            </w: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A04DAC">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方正仿宋_GBK" w:cs="Times New Roman"/>
                <w:b/>
                <w:bCs/>
                <w:i w:val="0"/>
                <w:iCs w:val="0"/>
                <w:color w:val="000000"/>
                <w:sz w:val="24"/>
                <w:szCs w:val="24"/>
                <w:u w:val="none"/>
              </w:rPr>
            </w:pPr>
          </w:p>
        </w:tc>
        <w:tc>
          <w:tcPr>
            <w:tcW w:w="14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47FC24">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方正仿宋_GBK" w:cs="Times New Roman"/>
                <w:b/>
                <w:bCs/>
                <w:i w:val="0"/>
                <w:iCs w:val="0"/>
                <w:color w:val="000000"/>
                <w:sz w:val="24"/>
                <w:szCs w:val="24"/>
                <w:u w:val="none"/>
              </w:rPr>
            </w:pPr>
          </w:p>
        </w:tc>
      </w:tr>
      <w:tr w14:paraId="653A52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1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025F57">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方正仿宋_GBK" w:cs="Times New Roman"/>
                <w:b/>
                <w:bCs/>
                <w:i w:val="0"/>
                <w:iCs w:val="0"/>
                <w:color w:val="000000"/>
                <w:sz w:val="24"/>
                <w:szCs w:val="24"/>
                <w:u w:val="none"/>
              </w:rPr>
            </w:pP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4B95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b/>
                <w:bCs/>
                <w:i w:val="0"/>
                <w:iCs w:val="0"/>
                <w:color w:val="000000"/>
                <w:sz w:val="24"/>
                <w:szCs w:val="24"/>
                <w:u w:val="none"/>
              </w:rPr>
            </w:pPr>
            <w:r>
              <w:rPr>
                <w:rFonts w:hint="default" w:ascii="Times New Roman" w:hAnsi="Times New Roman" w:eastAsia="方正仿宋_GBK" w:cs="Times New Roman"/>
                <w:b/>
                <w:bCs/>
                <w:i w:val="0"/>
                <w:iCs w:val="0"/>
                <w:color w:val="000000"/>
                <w:kern w:val="0"/>
                <w:sz w:val="24"/>
                <w:szCs w:val="24"/>
                <w:u w:val="none"/>
                <w:lang w:val="en-US" w:eastAsia="zh-CN" w:bidi="ar"/>
              </w:rPr>
              <w:t>玉溪市合计</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78EA7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b/>
                <w:bCs/>
                <w:i w:val="0"/>
                <w:iCs w:val="0"/>
                <w:color w:val="000000"/>
                <w:sz w:val="24"/>
                <w:szCs w:val="24"/>
                <w:u w:val="none"/>
              </w:rPr>
            </w:pPr>
            <w:r>
              <w:rPr>
                <w:rFonts w:hint="default" w:ascii="Times New Roman" w:hAnsi="Times New Roman" w:eastAsia="方正仿宋_GBK" w:cs="Times New Roman"/>
                <w:b/>
                <w:bCs/>
                <w:i w:val="0"/>
                <w:iCs w:val="0"/>
                <w:color w:val="000000"/>
                <w:kern w:val="0"/>
                <w:sz w:val="24"/>
                <w:szCs w:val="24"/>
                <w:u w:val="none"/>
                <w:lang w:val="en-US" w:eastAsia="zh-CN" w:bidi="ar"/>
              </w:rPr>
              <w:t>1400</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D3B7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b/>
                <w:bCs/>
                <w:i w:val="0"/>
                <w:iCs w:val="0"/>
                <w:color w:val="000000"/>
                <w:sz w:val="24"/>
                <w:szCs w:val="24"/>
                <w:u w:val="none"/>
              </w:rPr>
            </w:pPr>
            <w:r>
              <w:rPr>
                <w:rFonts w:hint="default" w:ascii="Times New Roman" w:hAnsi="Times New Roman" w:eastAsia="方正仿宋_GBK" w:cs="Times New Roman"/>
                <w:b/>
                <w:bCs/>
                <w:i w:val="0"/>
                <w:iCs w:val="0"/>
                <w:color w:val="000000"/>
                <w:kern w:val="0"/>
                <w:sz w:val="24"/>
                <w:szCs w:val="24"/>
                <w:u w:val="none"/>
                <w:lang w:val="en-US" w:eastAsia="zh-CN" w:bidi="ar"/>
              </w:rPr>
              <w:t>290</w:t>
            </w:r>
          </w:p>
        </w:tc>
        <w:tc>
          <w:tcPr>
            <w:tcW w:w="26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E64DB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b/>
                <w:bCs/>
                <w:i w:val="0"/>
                <w:iCs w:val="0"/>
                <w:color w:val="000000"/>
                <w:sz w:val="24"/>
                <w:szCs w:val="24"/>
                <w:u w:val="none"/>
              </w:rPr>
            </w:pPr>
            <w:r>
              <w:rPr>
                <w:rFonts w:hint="default" w:ascii="Times New Roman" w:hAnsi="Times New Roman" w:eastAsia="方正仿宋_GBK" w:cs="Times New Roman"/>
                <w:b/>
                <w:bCs/>
                <w:i w:val="0"/>
                <w:iCs w:val="0"/>
                <w:color w:val="000000"/>
                <w:kern w:val="0"/>
                <w:sz w:val="24"/>
                <w:szCs w:val="24"/>
                <w:u w:val="none"/>
                <w:lang w:val="en-US" w:eastAsia="zh-CN" w:bidi="ar"/>
              </w:rPr>
              <w:t>290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A7EB7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b/>
                <w:bCs/>
                <w:i w:val="0"/>
                <w:iCs w:val="0"/>
                <w:color w:val="000000"/>
                <w:sz w:val="24"/>
                <w:szCs w:val="24"/>
                <w:u w:val="none"/>
              </w:rPr>
            </w:pPr>
            <w:r>
              <w:rPr>
                <w:rFonts w:hint="default" w:ascii="Times New Roman" w:hAnsi="Times New Roman" w:eastAsia="方正仿宋_GBK" w:cs="Times New Roman"/>
                <w:b/>
                <w:bCs/>
                <w:i w:val="0"/>
                <w:iCs w:val="0"/>
                <w:color w:val="000000"/>
                <w:kern w:val="0"/>
                <w:sz w:val="24"/>
                <w:szCs w:val="24"/>
                <w:u w:val="none"/>
                <w:lang w:val="en-US" w:eastAsia="zh-CN" w:bidi="ar"/>
              </w:rPr>
              <w:t>0</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83BFD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b/>
                <w:bCs/>
                <w:i w:val="0"/>
                <w:iCs w:val="0"/>
                <w:color w:val="000000"/>
                <w:sz w:val="24"/>
                <w:szCs w:val="24"/>
                <w:u w:val="none"/>
              </w:rPr>
            </w:pPr>
            <w:r>
              <w:rPr>
                <w:rFonts w:hint="default" w:ascii="Times New Roman" w:hAnsi="Times New Roman" w:eastAsia="方正仿宋_GBK" w:cs="Times New Roman"/>
                <w:b/>
                <w:bCs/>
                <w:i w:val="0"/>
                <w:iCs w:val="0"/>
                <w:color w:val="000000"/>
                <w:kern w:val="0"/>
                <w:sz w:val="24"/>
                <w:szCs w:val="24"/>
                <w:u w:val="none"/>
                <w:lang w:val="en-US" w:eastAsia="zh-CN" w:bidi="ar"/>
              </w:rPr>
              <w:t>1110</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66BE700">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方正仿宋_GBK" w:cs="Times New Roman"/>
                <w:b/>
                <w:bCs/>
                <w:i w:val="0"/>
                <w:iCs w:val="0"/>
                <w:color w:val="000000"/>
                <w:sz w:val="24"/>
                <w:szCs w:val="24"/>
                <w:u w:val="none"/>
              </w:rPr>
            </w:pPr>
          </w:p>
        </w:tc>
      </w:tr>
      <w:tr w14:paraId="18A728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1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30D61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1</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F04B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红塔区</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67115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90</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98C95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90</w:t>
            </w:r>
          </w:p>
        </w:tc>
        <w:tc>
          <w:tcPr>
            <w:tcW w:w="26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D4825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90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9243D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0</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3EF41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0</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FE7350E">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方正仿宋_GBK" w:cs="Times New Roman"/>
                <w:b/>
                <w:bCs/>
                <w:i w:val="0"/>
                <w:iCs w:val="0"/>
                <w:color w:val="000000"/>
                <w:sz w:val="24"/>
                <w:szCs w:val="24"/>
                <w:u w:val="none"/>
              </w:rPr>
            </w:pPr>
          </w:p>
        </w:tc>
      </w:tr>
      <w:tr w14:paraId="30986F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1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7203D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2</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1381B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通海县</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54198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350</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DB96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50</w:t>
            </w:r>
          </w:p>
        </w:tc>
        <w:tc>
          <w:tcPr>
            <w:tcW w:w="26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FD71C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1EA2A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0</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555EE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300</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C5B2C95">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方正仿宋_GBK" w:cs="Times New Roman"/>
                <w:b/>
                <w:bCs/>
                <w:i w:val="0"/>
                <w:iCs w:val="0"/>
                <w:color w:val="000000"/>
                <w:sz w:val="24"/>
                <w:szCs w:val="24"/>
                <w:u w:val="none"/>
              </w:rPr>
            </w:pPr>
          </w:p>
        </w:tc>
      </w:tr>
      <w:tr w14:paraId="7B8B15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1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855E4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3</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F312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江川区</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90CB1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30</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283C8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0</w:t>
            </w:r>
          </w:p>
        </w:tc>
        <w:tc>
          <w:tcPr>
            <w:tcW w:w="26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720F0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AD175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0</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C6930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30</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2AF2EFE">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方正仿宋_GBK" w:cs="Times New Roman"/>
                <w:b/>
                <w:bCs/>
                <w:i w:val="0"/>
                <w:iCs w:val="0"/>
                <w:color w:val="000000"/>
                <w:sz w:val="24"/>
                <w:szCs w:val="24"/>
                <w:u w:val="none"/>
              </w:rPr>
            </w:pPr>
          </w:p>
        </w:tc>
      </w:tr>
      <w:tr w14:paraId="1DC4C6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1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6F9D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4</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3C68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澄江市</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62B20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50</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11837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0</w:t>
            </w:r>
          </w:p>
        </w:tc>
        <w:tc>
          <w:tcPr>
            <w:tcW w:w="26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5AD2C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78B7D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0</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4566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50</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F94CC71">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方正仿宋_GBK" w:cs="Times New Roman"/>
                <w:b/>
                <w:bCs/>
                <w:i w:val="0"/>
                <w:iCs w:val="0"/>
                <w:color w:val="000000"/>
                <w:sz w:val="24"/>
                <w:szCs w:val="24"/>
                <w:u w:val="none"/>
              </w:rPr>
            </w:pPr>
          </w:p>
        </w:tc>
      </w:tr>
      <w:tr w14:paraId="06F79E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1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3D01C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5</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5A89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华宁县</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9BB5B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80</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97258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50</w:t>
            </w:r>
          </w:p>
        </w:tc>
        <w:tc>
          <w:tcPr>
            <w:tcW w:w="26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A7D3A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50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6998E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0</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31766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30</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30CAA2D">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方正仿宋_GBK" w:cs="Times New Roman"/>
                <w:b/>
                <w:bCs/>
                <w:i w:val="0"/>
                <w:iCs w:val="0"/>
                <w:color w:val="000000"/>
                <w:sz w:val="24"/>
                <w:szCs w:val="24"/>
                <w:u w:val="none"/>
              </w:rPr>
            </w:pPr>
          </w:p>
        </w:tc>
      </w:tr>
      <w:tr w14:paraId="60B0B3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1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BA83F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6</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D71F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易门县</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829EE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80</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AE118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0</w:t>
            </w:r>
          </w:p>
        </w:tc>
        <w:tc>
          <w:tcPr>
            <w:tcW w:w="26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E2A21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51092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0</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84CF7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80</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D48E2D5">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方正仿宋_GBK" w:cs="Times New Roman"/>
                <w:b/>
                <w:bCs/>
                <w:i w:val="0"/>
                <w:iCs w:val="0"/>
                <w:color w:val="000000"/>
                <w:sz w:val="24"/>
                <w:szCs w:val="24"/>
                <w:u w:val="none"/>
              </w:rPr>
            </w:pPr>
          </w:p>
        </w:tc>
      </w:tr>
      <w:tr w14:paraId="5EC9A4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1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0192A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7</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BD22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峨山县</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10AB9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90</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564C1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0</w:t>
            </w:r>
          </w:p>
        </w:tc>
        <w:tc>
          <w:tcPr>
            <w:tcW w:w="26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DE20C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8B6B6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0</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0216C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90</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D243EE7">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方正仿宋_GBK" w:cs="Times New Roman"/>
                <w:b/>
                <w:bCs/>
                <w:i w:val="0"/>
                <w:iCs w:val="0"/>
                <w:color w:val="000000"/>
                <w:sz w:val="24"/>
                <w:szCs w:val="24"/>
                <w:u w:val="none"/>
              </w:rPr>
            </w:pPr>
          </w:p>
        </w:tc>
      </w:tr>
      <w:tr w14:paraId="3715E0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1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79E20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8</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B45A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新平县</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BAB23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130</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EEB96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100</w:t>
            </w:r>
          </w:p>
        </w:tc>
        <w:tc>
          <w:tcPr>
            <w:tcW w:w="26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560A3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100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196B7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0</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97541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30</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4D68E98">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方正仿宋_GBK" w:cs="Times New Roman"/>
                <w:b/>
                <w:bCs/>
                <w:i w:val="0"/>
                <w:iCs w:val="0"/>
                <w:color w:val="000000"/>
                <w:sz w:val="24"/>
                <w:szCs w:val="24"/>
                <w:u w:val="none"/>
              </w:rPr>
            </w:pPr>
          </w:p>
        </w:tc>
      </w:tr>
      <w:tr w14:paraId="7B5664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1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F31A5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9</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4F69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元江县</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82B65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500</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396CE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0</w:t>
            </w:r>
          </w:p>
        </w:tc>
        <w:tc>
          <w:tcPr>
            <w:tcW w:w="26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6E7CA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0</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2B4B4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0</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3EB1E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方正仿宋_GBK" w:cs="Times New Roman"/>
                <w:i w:val="0"/>
                <w:iCs w:val="0"/>
                <w:color w:val="000000"/>
                <w:sz w:val="24"/>
                <w:szCs w:val="24"/>
                <w:u w:val="none"/>
              </w:rPr>
            </w:pPr>
            <w:r>
              <w:rPr>
                <w:rFonts w:hint="default" w:ascii="Times New Roman" w:hAnsi="Times New Roman" w:eastAsia="方正仿宋_GBK" w:cs="Times New Roman"/>
                <w:i w:val="0"/>
                <w:iCs w:val="0"/>
                <w:color w:val="000000"/>
                <w:kern w:val="0"/>
                <w:sz w:val="24"/>
                <w:szCs w:val="24"/>
                <w:u w:val="none"/>
                <w:lang w:val="en-US" w:eastAsia="zh-CN" w:bidi="ar"/>
              </w:rPr>
              <w:t>500</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1A42CA9">
            <w:pPr>
              <w:keepNext w:val="0"/>
              <w:keepLines w:val="0"/>
              <w:pageBreakBefore w:val="0"/>
              <w:widowControl/>
              <w:kinsoku/>
              <w:wordWrap/>
              <w:overflowPunct/>
              <w:topLinePunct w:val="0"/>
              <w:autoSpaceDE/>
              <w:autoSpaceDN/>
              <w:bidi w:val="0"/>
              <w:adjustRightInd/>
              <w:snapToGrid/>
              <w:spacing w:line="400" w:lineRule="exact"/>
              <w:jc w:val="center"/>
              <w:rPr>
                <w:rFonts w:hint="default" w:ascii="Times New Roman" w:hAnsi="Times New Roman" w:eastAsia="方正仿宋_GBK" w:cs="Times New Roman"/>
                <w:b/>
                <w:bCs/>
                <w:i w:val="0"/>
                <w:iCs w:val="0"/>
                <w:color w:val="000000"/>
                <w:sz w:val="24"/>
                <w:szCs w:val="24"/>
                <w:u w:val="none"/>
              </w:rPr>
            </w:pPr>
          </w:p>
        </w:tc>
      </w:tr>
    </w:tbl>
    <w:p w14:paraId="121DAE7D">
      <w:pPr>
        <w:rPr>
          <w:rFonts w:hint="default"/>
          <w:lang w:val="en-US" w:eastAsia="zh-CN"/>
        </w:rPr>
      </w:pPr>
    </w:p>
    <w:p w14:paraId="54C9AF84"/>
    <w:p w14:paraId="278D01B6"/>
    <w:p w14:paraId="5367FDD2">
      <w:pPr>
        <w:pStyle w:val="2"/>
      </w:pPr>
    </w:p>
    <w:p w14:paraId="3DF957E4">
      <w:pPr>
        <w:pStyle w:val="2"/>
        <w:ind w:left="0" w:leftChars="0" w:firstLine="0" w:firstLineChars="0"/>
      </w:pPr>
      <w:r>
        <w:rPr>
          <w:rFonts w:hint="eastAsia" w:ascii="方正黑体_GBK" w:hAnsi="方正黑体_GBK" w:eastAsia="方正黑体_GBK" w:cs="方正黑体_GBK"/>
          <w:lang w:eastAsia="zh-CN"/>
        </w:rPr>
        <w:t>附件</w:t>
      </w:r>
      <w:r>
        <w:rPr>
          <w:rFonts w:hint="eastAsia"/>
          <w:lang w:val="en-US" w:eastAsia="zh-CN"/>
        </w:rPr>
        <w:t>2</w:t>
      </w:r>
    </w:p>
    <w:tbl>
      <w:tblPr>
        <w:tblStyle w:val="5"/>
        <w:tblW w:w="140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88"/>
        <w:gridCol w:w="1376"/>
        <w:gridCol w:w="3146"/>
        <w:gridCol w:w="4470"/>
        <w:gridCol w:w="4080"/>
      </w:tblGrid>
      <w:tr w14:paraId="4F06E1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14060" w:type="dxa"/>
            <w:gridSpan w:val="5"/>
            <w:tcBorders>
              <w:top w:val="nil"/>
              <w:left w:val="nil"/>
              <w:bottom w:val="nil"/>
              <w:right w:val="nil"/>
            </w:tcBorders>
            <w:shd w:val="clear" w:color="auto" w:fill="auto"/>
            <w:vAlign w:val="center"/>
          </w:tcPr>
          <w:p w14:paraId="2C63D86F">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28"/>
                <w:szCs w:val="28"/>
                <w:u w:val="none"/>
              </w:rPr>
            </w:pPr>
            <w:r>
              <w:rPr>
                <w:rFonts w:hint="eastAsia" w:ascii="方正小标宋_GBK" w:hAnsi="方正小标宋_GBK" w:eastAsia="方正小标宋_GBK" w:cs="方正小标宋_GBK"/>
                <w:i w:val="0"/>
                <w:iCs w:val="0"/>
                <w:color w:val="000000"/>
                <w:kern w:val="0"/>
                <w:sz w:val="40"/>
                <w:szCs w:val="40"/>
                <w:u w:val="none"/>
                <w:lang w:val="en-US" w:eastAsia="zh-CN" w:bidi="ar"/>
              </w:rPr>
              <w:t>2025年省级财政衔接推进乡村振兴补助资金（第二批）绩效目标表</w:t>
            </w:r>
          </w:p>
        </w:tc>
      </w:tr>
      <w:tr w14:paraId="243EAA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F7FC5E">
            <w:pPr>
              <w:keepNext w:val="0"/>
              <w:keepLines w:val="0"/>
              <w:widowControl/>
              <w:suppressLineNumbers w:val="0"/>
              <w:jc w:val="center"/>
              <w:textAlignment w:val="center"/>
              <w:rPr>
                <w:rFonts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项目名称</w:t>
            </w:r>
          </w:p>
        </w:tc>
        <w:tc>
          <w:tcPr>
            <w:tcW w:w="1169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C47F71D">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省级财政衔接推进乡村振兴补助资金</w:t>
            </w:r>
          </w:p>
        </w:tc>
      </w:tr>
      <w:tr w14:paraId="03CF23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BE0CBE">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市级主管部门</w:t>
            </w:r>
          </w:p>
        </w:tc>
        <w:tc>
          <w:tcPr>
            <w:tcW w:w="76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B50903">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市财政局</w:t>
            </w:r>
          </w:p>
        </w:tc>
        <w:tc>
          <w:tcPr>
            <w:tcW w:w="4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A1091">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市发展改革委、市民族宗教委</w:t>
            </w:r>
          </w:p>
        </w:tc>
      </w:tr>
      <w:tr w14:paraId="0C06C3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CE88BA">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县（市、区）主管部门</w:t>
            </w:r>
          </w:p>
        </w:tc>
        <w:tc>
          <w:tcPr>
            <w:tcW w:w="76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24C6F5">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县（市、区）财政局</w:t>
            </w:r>
          </w:p>
        </w:tc>
        <w:tc>
          <w:tcPr>
            <w:tcW w:w="4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6DE48">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县（市、区）发展改革、民族宗教部门</w:t>
            </w:r>
          </w:p>
        </w:tc>
      </w:tr>
      <w:tr w14:paraId="3990B2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988" w:type="dxa"/>
            <w:tcBorders>
              <w:top w:val="single" w:color="000000" w:sz="4" w:space="0"/>
              <w:left w:val="single" w:color="000000" w:sz="4" w:space="0"/>
              <w:bottom w:val="nil"/>
              <w:right w:val="single" w:color="000000" w:sz="4" w:space="0"/>
            </w:tcBorders>
            <w:shd w:val="clear" w:color="auto" w:fill="auto"/>
            <w:vAlign w:val="center"/>
          </w:tcPr>
          <w:p w14:paraId="6B10D468">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年度总体目标</w:t>
            </w:r>
          </w:p>
        </w:tc>
        <w:tc>
          <w:tcPr>
            <w:tcW w:w="13072" w:type="dxa"/>
            <w:gridSpan w:val="4"/>
            <w:tcBorders>
              <w:top w:val="single" w:color="000000" w:sz="4" w:space="0"/>
              <w:left w:val="single" w:color="000000" w:sz="4" w:space="0"/>
              <w:bottom w:val="nil"/>
              <w:right w:val="single" w:color="000000" w:sz="4" w:space="0"/>
            </w:tcBorders>
            <w:shd w:val="clear" w:color="auto" w:fill="auto"/>
            <w:vAlign w:val="center"/>
          </w:tcPr>
          <w:p w14:paraId="56E2A453">
            <w:pPr>
              <w:keepNext w:val="0"/>
              <w:keepLines w:val="0"/>
              <w:widowControl/>
              <w:suppressLineNumbers w:val="0"/>
              <w:jc w:val="left"/>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过渡期内在保持财政支持政策总体稳定的前提下，根据巩固拓展脱贫攻坚成果同乡村振兴有效衔接的需要和财力状况，合理安排财政投入规模，优化支出结构，调整支持重点。保留并调整优化原财政专项扶贫资金，聚焦支持脱贫地区巩固拓展脱贫攻坚成果和乡村振兴，适当向国家乡村振兴重点帮扶县倾斜，并保持用于产业发展的比例总体稳定，省级衔接资金用于产业的比例达到</w:t>
            </w:r>
            <w:r>
              <w:rPr>
                <w:rFonts w:hint="default" w:ascii="Times New Roman" w:hAnsi="Times New Roman" w:eastAsia="方正仿宋_GBK" w:cs="Times New Roman"/>
                <w:i w:val="0"/>
                <w:iCs w:val="0"/>
                <w:color w:val="000000"/>
                <w:kern w:val="0"/>
                <w:sz w:val="20"/>
                <w:szCs w:val="20"/>
                <w:u w:val="none"/>
                <w:lang w:val="en-US" w:eastAsia="zh-CN" w:bidi="ar"/>
              </w:rPr>
              <w:t>52%</w:t>
            </w:r>
            <w:r>
              <w:rPr>
                <w:rFonts w:hint="eastAsia" w:ascii="方正仿宋_GBK" w:hAnsi="方正仿宋_GBK" w:eastAsia="方正仿宋_GBK" w:cs="方正仿宋_GBK"/>
                <w:i w:val="0"/>
                <w:iCs w:val="0"/>
                <w:color w:val="000000"/>
                <w:kern w:val="0"/>
                <w:sz w:val="20"/>
                <w:szCs w:val="20"/>
                <w:u w:val="none"/>
                <w:lang w:val="en-US" w:eastAsia="zh-CN" w:bidi="ar"/>
              </w:rPr>
              <w:t>；提高资金使用效率和效益，当年衔接资金支出进度目标</w:t>
            </w:r>
            <w:r>
              <w:rPr>
                <w:rFonts w:hint="default" w:ascii="Times New Roman" w:hAnsi="Times New Roman" w:eastAsia="方正仿宋_GBK" w:cs="Times New Roman"/>
                <w:i w:val="0"/>
                <w:iCs w:val="0"/>
                <w:color w:val="000000"/>
                <w:kern w:val="0"/>
                <w:sz w:val="20"/>
                <w:szCs w:val="20"/>
                <w:u w:val="none"/>
                <w:lang w:val="en-US" w:eastAsia="zh-CN" w:bidi="ar"/>
              </w:rPr>
              <w:t>100%</w:t>
            </w:r>
            <w:r>
              <w:rPr>
                <w:rFonts w:hint="eastAsia" w:ascii="方正仿宋_GBK" w:hAnsi="方正仿宋_GBK" w:eastAsia="方正仿宋_GBK" w:cs="方正仿宋_GBK"/>
                <w:i w:val="0"/>
                <w:iCs w:val="0"/>
                <w:color w:val="000000"/>
                <w:kern w:val="0"/>
                <w:sz w:val="20"/>
                <w:szCs w:val="20"/>
                <w:u w:val="none"/>
                <w:lang w:val="en-US" w:eastAsia="zh-CN" w:bidi="ar"/>
              </w:rPr>
              <w:t>；提高项目资金透明度和公开效果；提升项目库建设水平；促进脱贫人口增收，脱贫地区农村居民人均可支配收入达到全省平均水平或者增速高于全省平均水平。</w:t>
            </w:r>
          </w:p>
        </w:tc>
      </w:tr>
      <w:tr w14:paraId="021D84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0" w:hRule="atLeast"/>
        </w:trPr>
        <w:tc>
          <w:tcPr>
            <w:tcW w:w="98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6F89161">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绩效</w:t>
            </w:r>
            <w:r>
              <w:rPr>
                <w:rFonts w:hint="default" w:ascii="Times New Roman" w:hAnsi="Times New Roman" w:eastAsia="方正仿宋_GBK" w:cs="Times New Roman"/>
                <w:i w:val="0"/>
                <w:iCs w:val="0"/>
                <w:color w:val="000000"/>
                <w:kern w:val="0"/>
                <w:sz w:val="20"/>
                <w:szCs w:val="20"/>
                <w:u w:val="none"/>
                <w:lang w:val="en-US" w:eastAsia="zh-CN" w:bidi="ar"/>
              </w:rPr>
              <w:br w:type="textWrapping"/>
            </w:r>
            <w:r>
              <w:rPr>
                <w:rFonts w:hint="eastAsia" w:ascii="方正仿宋_GBK" w:hAnsi="方正仿宋_GBK" w:eastAsia="方正仿宋_GBK" w:cs="方正仿宋_GBK"/>
                <w:i w:val="0"/>
                <w:iCs w:val="0"/>
                <w:color w:val="000000"/>
                <w:kern w:val="0"/>
                <w:sz w:val="20"/>
                <w:szCs w:val="20"/>
                <w:u w:val="none"/>
                <w:lang w:val="en-US" w:eastAsia="zh-CN" w:bidi="ar"/>
              </w:rPr>
              <w:t>目标</w:t>
            </w: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F84EA">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一级指标</w:t>
            </w:r>
          </w:p>
        </w:tc>
        <w:tc>
          <w:tcPr>
            <w:tcW w:w="3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25EB3">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二级指标</w:t>
            </w:r>
          </w:p>
        </w:tc>
        <w:tc>
          <w:tcPr>
            <w:tcW w:w="4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E7007">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三级指标</w:t>
            </w:r>
          </w:p>
        </w:tc>
        <w:tc>
          <w:tcPr>
            <w:tcW w:w="4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AF0E4">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指标内容</w:t>
            </w:r>
          </w:p>
        </w:tc>
      </w:tr>
      <w:tr w14:paraId="5CCDDB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8C94C5">
            <w:pPr>
              <w:jc w:val="center"/>
              <w:rPr>
                <w:rFonts w:hint="eastAsia" w:ascii="方正仿宋_GBK" w:hAnsi="方正仿宋_GBK" w:eastAsia="方正仿宋_GBK" w:cs="方正仿宋_GBK"/>
                <w:i w:val="0"/>
                <w:iCs w:val="0"/>
                <w:color w:val="000000"/>
                <w:sz w:val="20"/>
                <w:szCs w:val="20"/>
                <w:u w:val="none"/>
              </w:rPr>
            </w:pPr>
          </w:p>
        </w:tc>
        <w:tc>
          <w:tcPr>
            <w:tcW w:w="13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99A8E14">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产出指标</w:t>
            </w:r>
          </w:p>
        </w:tc>
        <w:tc>
          <w:tcPr>
            <w:tcW w:w="3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B95E8">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数量指标</w:t>
            </w:r>
          </w:p>
        </w:tc>
        <w:tc>
          <w:tcPr>
            <w:tcW w:w="4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24D4D">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产业资金投入率</w:t>
            </w:r>
          </w:p>
        </w:tc>
        <w:tc>
          <w:tcPr>
            <w:tcW w:w="4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D8004">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&gt;=52%</w:t>
            </w:r>
          </w:p>
        </w:tc>
      </w:tr>
      <w:tr w14:paraId="3F0B66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DE7BC5">
            <w:pPr>
              <w:jc w:val="center"/>
              <w:rPr>
                <w:rFonts w:hint="eastAsia" w:ascii="方正仿宋_GBK" w:hAnsi="方正仿宋_GBK" w:eastAsia="方正仿宋_GBK" w:cs="方正仿宋_GBK"/>
                <w:i w:val="0"/>
                <w:iCs w:val="0"/>
                <w:color w:val="000000"/>
                <w:sz w:val="20"/>
                <w:szCs w:val="20"/>
                <w:u w:val="none"/>
              </w:rPr>
            </w:pPr>
          </w:p>
        </w:tc>
        <w:tc>
          <w:tcPr>
            <w:tcW w:w="13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966441">
            <w:pPr>
              <w:jc w:val="center"/>
              <w:rPr>
                <w:rFonts w:hint="eastAsia" w:ascii="方正仿宋_GBK" w:hAnsi="方正仿宋_GBK" w:eastAsia="方正仿宋_GBK" w:cs="方正仿宋_GBK"/>
                <w:i w:val="0"/>
                <w:iCs w:val="0"/>
                <w:color w:val="000000"/>
                <w:sz w:val="20"/>
                <w:szCs w:val="20"/>
                <w:u w:val="none"/>
              </w:rPr>
            </w:pPr>
          </w:p>
        </w:tc>
        <w:tc>
          <w:tcPr>
            <w:tcW w:w="3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C2283">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数量指标</w:t>
            </w:r>
          </w:p>
        </w:tc>
        <w:tc>
          <w:tcPr>
            <w:tcW w:w="4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835D9">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资金支出率</w:t>
            </w:r>
          </w:p>
        </w:tc>
        <w:tc>
          <w:tcPr>
            <w:tcW w:w="4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002BC">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=100%</w:t>
            </w:r>
          </w:p>
        </w:tc>
      </w:tr>
      <w:tr w14:paraId="5EA7EF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EDF085">
            <w:pPr>
              <w:jc w:val="center"/>
              <w:rPr>
                <w:rFonts w:hint="eastAsia" w:ascii="方正仿宋_GBK" w:hAnsi="方正仿宋_GBK" w:eastAsia="方正仿宋_GBK" w:cs="方正仿宋_GBK"/>
                <w:i w:val="0"/>
                <w:iCs w:val="0"/>
                <w:color w:val="000000"/>
                <w:sz w:val="20"/>
                <w:szCs w:val="20"/>
                <w:u w:val="none"/>
              </w:rPr>
            </w:pPr>
          </w:p>
        </w:tc>
        <w:tc>
          <w:tcPr>
            <w:tcW w:w="13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955F2E">
            <w:pPr>
              <w:jc w:val="center"/>
              <w:rPr>
                <w:rFonts w:hint="eastAsia" w:ascii="方正仿宋_GBK" w:hAnsi="方正仿宋_GBK" w:eastAsia="方正仿宋_GBK" w:cs="方正仿宋_GBK"/>
                <w:i w:val="0"/>
                <w:iCs w:val="0"/>
                <w:color w:val="000000"/>
                <w:sz w:val="20"/>
                <w:szCs w:val="20"/>
                <w:u w:val="none"/>
              </w:rPr>
            </w:pPr>
          </w:p>
        </w:tc>
        <w:tc>
          <w:tcPr>
            <w:tcW w:w="3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46E17">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质量指标</w:t>
            </w:r>
          </w:p>
        </w:tc>
        <w:tc>
          <w:tcPr>
            <w:tcW w:w="4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FF0F4">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项目资金公告公示率</w:t>
            </w:r>
          </w:p>
        </w:tc>
        <w:tc>
          <w:tcPr>
            <w:tcW w:w="4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50A77">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=100%</w:t>
            </w:r>
          </w:p>
        </w:tc>
      </w:tr>
      <w:tr w14:paraId="734DF8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FF60B1">
            <w:pPr>
              <w:jc w:val="center"/>
              <w:rPr>
                <w:rFonts w:hint="eastAsia" w:ascii="方正仿宋_GBK" w:hAnsi="方正仿宋_GBK" w:eastAsia="方正仿宋_GBK" w:cs="方正仿宋_GBK"/>
                <w:i w:val="0"/>
                <w:iCs w:val="0"/>
                <w:color w:val="000000"/>
                <w:sz w:val="20"/>
                <w:szCs w:val="20"/>
                <w:u w:val="none"/>
              </w:rPr>
            </w:pPr>
          </w:p>
        </w:tc>
        <w:tc>
          <w:tcPr>
            <w:tcW w:w="13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7CF755">
            <w:pPr>
              <w:jc w:val="center"/>
              <w:rPr>
                <w:rFonts w:hint="eastAsia" w:ascii="方正仿宋_GBK" w:hAnsi="方正仿宋_GBK" w:eastAsia="方正仿宋_GBK" w:cs="方正仿宋_GBK"/>
                <w:i w:val="0"/>
                <w:iCs w:val="0"/>
                <w:color w:val="000000"/>
                <w:sz w:val="20"/>
                <w:szCs w:val="20"/>
                <w:u w:val="none"/>
              </w:rPr>
            </w:pPr>
          </w:p>
        </w:tc>
        <w:tc>
          <w:tcPr>
            <w:tcW w:w="3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07C7B">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质量指标</w:t>
            </w:r>
          </w:p>
        </w:tc>
        <w:tc>
          <w:tcPr>
            <w:tcW w:w="4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69DBC">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完工项目验收合格率</w:t>
            </w:r>
          </w:p>
        </w:tc>
        <w:tc>
          <w:tcPr>
            <w:tcW w:w="4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44DE6">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=100%</w:t>
            </w:r>
          </w:p>
        </w:tc>
      </w:tr>
      <w:tr w14:paraId="159E1E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F42CBC">
            <w:pPr>
              <w:jc w:val="center"/>
              <w:rPr>
                <w:rFonts w:hint="eastAsia" w:ascii="方正仿宋_GBK" w:hAnsi="方正仿宋_GBK" w:eastAsia="方正仿宋_GBK" w:cs="方正仿宋_GBK"/>
                <w:i w:val="0"/>
                <w:iCs w:val="0"/>
                <w:color w:val="000000"/>
                <w:sz w:val="20"/>
                <w:szCs w:val="20"/>
                <w:u w:val="none"/>
              </w:rPr>
            </w:pPr>
          </w:p>
        </w:tc>
        <w:tc>
          <w:tcPr>
            <w:tcW w:w="13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CFCD80">
            <w:pPr>
              <w:jc w:val="center"/>
              <w:rPr>
                <w:rFonts w:hint="eastAsia" w:ascii="方正仿宋_GBK" w:hAnsi="方正仿宋_GBK" w:eastAsia="方正仿宋_GBK" w:cs="方正仿宋_GBK"/>
                <w:i w:val="0"/>
                <w:iCs w:val="0"/>
                <w:color w:val="000000"/>
                <w:sz w:val="20"/>
                <w:szCs w:val="20"/>
                <w:u w:val="none"/>
              </w:rPr>
            </w:pPr>
          </w:p>
        </w:tc>
        <w:tc>
          <w:tcPr>
            <w:tcW w:w="3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F4F25">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时效指标</w:t>
            </w:r>
          </w:p>
        </w:tc>
        <w:tc>
          <w:tcPr>
            <w:tcW w:w="4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58B27">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项目开工率</w:t>
            </w:r>
          </w:p>
        </w:tc>
        <w:tc>
          <w:tcPr>
            <w:tcW w:w="4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6A8E4">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=100%</w:t>
            </w:r>
          </w:p>
        </w:tc>
      </w:tr>
      <w:tr w14:paraId="046C50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08FF44">
            <w:pPr>
              <w:jc w:val="center"/>
              <w:rPr>
                <w:rFonts w:hint="eastAsia" w:ascii="方正仿宋_GBK" w:hAnsi="方正仿宋_GBK" w:eastAsia="方正仿宋_GBK" w:cs="方正仿宋_GBK"/>
                <w:i w:val="0"/>
                <w:iCs w:val="0"/>
                <w:color w:val="000000"/>
                <w:sz w:val="20"/>
                <w:szCs w:val="20"/>
                <w:u w:val="none"/>
              </w:rPr>
            </w:pPr>
          </w:p>
        </w:tc>
        <w:tc>
          <w:tcPr>
            <w:tcW w:w="13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67D2BF">
            <w:pPr>
              <w:jc w:val="center"/>
              <w:rPr>
                <w:rFonts w:hint="eastAsia" w:ascii="方正仿宋_GBK" w:hAnsi="方正仿宋_GBK" w:eastAsia="方正仿宋_GBK" w:cs="方正仿宋_GBK"/>
                <w:i w:val="0"/>
                <w:iCs w:val="0"/>
                <w:color w:val="000000"/>
                <w:sz w:val="20"/>
                <w:szCs w:val="20"/>
                <w:u w:val="none"/>
              </w:rPr>
            </w:pPr>
          </w:p>
        </w:tc>
        <w:tc>
          <w:tcPr>
            <w:tcW w:w="3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DB444">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时效指标</w:t>
            </w:r>
          </w:p>
        </w:tc>
        <w:tc>
          <w:tcPr>
            <w:tcW w:w="4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390A4">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项目完工率</w:t>
            </w:r>
          </w:p>
        </w:tc>
        <w:tc>
          <w:tcPr>
            <w:tcW w:w="4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3B0D9">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=100%</w:t>
            </w:r>
          </w:p>
        </w:tc>
      </w:tr>
      <w:tr w14:paraId="35A95C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0" w:hRule="atLeast"/>
        </w:trPr>
        <w:tc>
          <w:tcPr>
            <w:tcW w:w="9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915CA8">
            <w:pPr>
              <w:jc w:val="center"/>
              <w:rPr>
                <w:rFonts w:hint="eastAsia" w:ascii="方正仿宋_GBK" w:hAnsi="方正仿宋_GBK" w:eastAsia="方正仿宋_GBK" w:cs="方正仿宋_GBK"/>
                <w:i w:val="0"/>
                <w:iCs w:val="0"/>
                <w:color w:val="000000"/>
                <w:sz w:val="20"/>
                <w:szCs w:val="20"/>
                <w:u w:val="none"/>
              </w:rPr>
            </w:pPr>
          </w:p>
        </w:tc>
        <w:tc>
          <w:tcPr>
            <w:tcW w:w="13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7FBD8F4">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效益指标</w:t>
            </w:r>
          </w:p>
        </w:tc>
        <w:tc>
          <w:tcPr>
            <w:tcW w:w="3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D9CEC">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经济效益指标</w:t>
            </w:r>
          </w:p>
        </w:tc>
        <w:tc>
          <w:tcPr>
            <w:tcW w:w="4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C7BD2">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脱贫地区农村居民人均可支配收入增幅</w:t>
            </w:r>
          </w:p>
        </w:tc>
        <w:tc>
          <w:tcPr>
            <w:tcW w:w="4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3FC58">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&gt;=O%</w:t>
            </w:r>
          </w:p>
        </w:tc>
      </w:tr>
      <w:tr w14:paraId="6A31A7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5" w:hRule="atLeast"/>
        </w:trPr>
        <w:tc>
          <w:tcPr>
            <w:tcW w:w="9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099DDB">
            <w:pPr>
              <w:jc w:val="center"/>
              <w:rPr>
                <w:rFonts w:hint="eastAsia" w:ascii="方正仿宋_GBK" w:hAnsi="方正仿宋_GBK" w:eastAsia="方正仿宋_GBK" w:cs="方正仿宋_GBK"/>
                <w:i w:val="0"/>
                <w:iCs w:val="0"/>
                <w:color w:val="000000"/>
                <w:sz w:val="20"/>
                <w:szCs w:val="20"/>
                <w:u w:val="none"/>
              </w:rPr>
            </w:pPr>
          </w:p>
        </w:tc>
        <w:tc>
          <w:tcPr>
            <w:tcW w:w="13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313565">
            <w:pPr>
              <w:jc w:val="center"/>
              <w:rPr>
                <w:rFonts w:hint="eastAsia" w:ascii="方正仿宋_GBK" w:hAnsi="方正仿宋_GBK" w:eastAsia="方正仿宋_GBK" w:cs="方正仿宋_GBK"/>
                <w:i w:val="0"/>
                <w:iCs w:val="0"/>
                <w:color w:val="000000"/>
                <w:sz w:val="20"/>
                <w:szCs w:val="20"/>
                <w:u w:val="none"/>
              </w:rPr>
            </w:pPr>
          </w:p>
        </w:tc>
        <w:tc>
          <w:tcPr>
            <w:tcW w:w="3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7B0D8">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经济效益指标</w:t>
            </w:r>
          </w:p>
        </w:tc>
        <w:tc>
          <w:tcPr>
            <w:tcW w:w="4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14456">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脱贫人口人均纯收入增幅</w:t>
            </w:r>
          </w:p>
        </w:tc>
        <w:tc>
          <w:tcPr>
            <w:tcW w:w="4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A5946">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&gt;=O%</w:t>
            </w:r>
          </w:p>
        </w:tc>
      </w:tr>
      <w:tr w14:paraId="203878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70C2D6">
            <w:pPr>
              <w:jc w:val="center"/>
              <w:rPr>
                <w:rFonts w:hint="eastAsia" w:ascii="方正仿宋_GBK" w:hAnsi="方正仿宋_GBK" w:eastAsia="方正仿宋_GBK" w:cs="方正仿宋_GBK"/>
                <w:i w:val="0"/>
                <w:iCs w:val="0"/>
                <w:color w:val="000000"/>
                <w:sz w:val="20"/>
                <w:szCs w:val="20"/>
                <w:u w:val="none"/>
              </w:rPr>
            </w:pPr>
          </w:p>
        </w:tc>
        <w:tc>
          <w:tcPr>
            <w:tcW w:w="13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2C6E0F">
            <w:pPr>
              <w:jc w:val="center"/>
              <w:rPr>
                <w:rFonts w:hint="eastAsia" w:ascii="方正仿宋_GBK" w:hAnsi="方正仿宋_GBK" w:eastAsia="方正仿宋_GBK" w:cs="方正仿宋_GBK"/>
                <w:i w:val="0"/>
                <w:iCs w:val="0"/>
                <w:color w:val="000000"/>
                <w:sz w:val="20"/>
                <w:szCs w:val="20"/>
                <w:u w:val="none"/>
              </w:rPr>
            </w:pPr>
          </w:p>
        </w:tc>
        <w:tc>
          <w:tcPr>
            <w:tcW w:w="3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F6B20">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社会效益指标</w:t>
            </w:r>
          </w:p>
        </w:tc>
        <w:tc>
          <w:tcPr>
            <w:tcW w:w="4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226BC">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防返贫监测对象覆盖率</w:t>
            </w:r>
          </w:p>
        </w:tc>
        <w:tc>
          <w:tcPr>
            <w:tcW w:w="4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CA3B7">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=100%</w:t>
            </w:r>
          </w:p>
        </w:tc>
      </w:tr>
      <w:tr w14:paraId="707FAD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 w:hRule="atLeast"/>
        </w:trPr>
        <w:tc>
          <w:tcPr>
            <w:tcW w:w="9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444367">
            <w:pPr>
              <w:jc w:val="center"/>
              <w:rPr>
                <w:rFonts w:hint="eastAsia" w:ascii="方正仿宋_GBK" w:hAnsi="方正仿宋_GBK" w:eastAsia="方正仿宋_GBK" w:cs="方正仿宋_GBK"/>
                <w:i w:val="0"/>
                <w:iCs w:val="0"/>
                <w:color w:val="000000"/>
                <w:sz w:val="20"/>
                <w:szCs w:val="20"/>
                <w:u w:val="none"/>
              </w:rPr>
            </w:pPr>
          </w:p>
        </w:tc>
        <w:tc>
          <w:tcPr>
            <w:tcW w:w="13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5E77A7">
            <w:pPr>
              <w:jc w:val="center"/>
              <w:rPr>
                <w:rFonts w:hint="eastAsia" w:ascii="方正仿宋_GBK" w:hAnsi="方正仿宋_GBK" w:eastAsia="方正仿宋_GBK" w:cs="方正仿宋_GBK"/>
                <w:i w:val="0"/>
                <w:iCs w:val="0"/>
                <w:color w:val="000000"/>
                <w:sz w:val="20"/>
                <w:szCs w:val="20"/>
                <w:u w:val="none"/>
              </w:rPr>
            </w:pPr>
          </w:p>
        </w:tc>
        <w:tc>
          <w:tcPr>
            <w:tcW w:w="3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45445">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社会效益指标</w:t>
            </w:r>
          </w:p>
        </w:tc>
        <w:tc>
          <w:tcPr>
            <w:tcW w:w="4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7C4DF">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风险消除人口帮扶措施覆盖率</w:t>
            </w:r>
          </w:p>
        </w:tc>
        <w:tc>
          <w:tcPr>
            <w:tcW w:w="4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C24FC">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=100%</w:t>
            </w:r>
          </w:p>
        </w:tc>
      </w:tr>
      <w:tr w14:paraId="6F9A58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56A277">
            <w:pPr>
              <w:jc w:val="center"/>
              <w:rPr>
                <w:rFonts w:hint="eastAsia" w:ascii="方正仿宋_GBK" w:hAnsi="方正仿宋_GBK" w:eastAsia="方正仿宋_GBK" w:cs="方正仿宋_GBK"/>
                <w:i w:val="0"/>
                <w:iCs w:val="0"/>
                <w:color w:val="000000"/>
                <w:sz w:val="20"/>
                <w:szCs w:val="20"/>
                <w:u w:val="none"/>
              </w:rPr>
            </w:pPr>
          </w:p>
        </w:tc>
        <w:tc>
          <w:tcPr>
            <w:tcW w:w="13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4EE973">
            <w:pPr>
              <w:jc w:val="center"/>
              <w:rPr>
                <w:rFonts w:hint="eastAsia" w:ascii="方正仿宋_GBK" w:hAnsi="方正仿宋_GBK" w:eastAsia="方正仿宋_GBK" w:cs="方正仿宋_GBK"/>
                <w:i w:val="0"/>
                <w:iCs w:val="0"/>
                <w:color w:val="000000"/>
                <w:sz w:val="20"/>
                <w:szCs w:val="20"/>
                <w:u w:val="none"/>
              </w:rPr>
            </w:pPr>
          </w:p>
        </w:tc>
        <w:tc>
          <w:tcPr>
            <w:tcW w:w="3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DFF55">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社会效益指标</w:t>
            </w:r>
          </w:p>
        </w:tc>
        <w:tc>
          <w:tcPr>
            <w:tcW w:w="4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D5FCB">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无规模性返贫</w:t>
            </w:r>
          </w:p>
        </w:tc>
        <w:tc>
          <w:tcPr>
            <w:tcW w:w="4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E16E7">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无</w:t>
            </w:r>
          </w:p>
        </w:tc>
      </w:tr>
      <w:tr w14:paraId="21793A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02BACA">
            <w:pPr>
              <w:jc w:val="center"/>
              <w:rPr>
                <w:rFonts w:hint="eastAsia" w:ascii="方正仿宋_GBK" w:hAnsi="方正仿宋_GBK" w:eastAsia="方正仿宋_GBK" w:cs="方正仿宋_GBK"/>
                <w:i w:val="0"/>
                <w:iCs w:val="0"/>
                <w:color w:val="000000"/>
                <w:sz w:val="20"/>
                <w:szCs w:val="20"/>
                <w:u w:val="none"/>
              </w:rPr>
            </w:pP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8AD17">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满意度指标</w:t>
            </w:r>
          </w:p>
        </w:tc>
        <w:tc>
          <w:tcPr>
            <w:tcW w:w="3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8E2D3">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服务对象满意度指标</w:t>
            </w:r>
          </w:p>
        </w:tc>
        <w:tc>
          <w:tcPr>
            <w:tcW w:w="4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5F9F0">
            <w:pPr>
              <w:keepNext w:val="0"/>
              <w:keepLines w:val="0"/>
              <w:widowControl/>
              <w:suppressLineNumbers w:val="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帮扶工作群众满意度</w:t>
            </w:r>
          </w:p>
        </w:tc>
        <w:tc>
          <w:tcPr>
            <w:tcW w:w="4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22091">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&gt;=90%</w:t>
            </w:r>
          </w:p>
        </w:tc>
      </w:tr>
    </w:tbl>
    <w:p w14:paraId="189E4FC2">
      <w:pPr>
        <w:jc w:val="center"/>
      </w:pPr>
    </w:p>
    <w:p w14:paraId="3BD25EBC">
      <w:pPr>
        <w:pStyle w:val="2"/>
        <w:sectPr>
          <w:footerReference r:id="rId5" w:type="default"/>
          <w:footerReference r:id="rId6" w:type="even"/>
          <w:pgSz w:w="16838" w:h="11906" w:orient="landscape"/>
          <w:pgMar w:top="1587" w:right="1701" w:bottom="1474" w:left="1304" w:header="1361" w:footer="1191" w:gutter="0"/>
          <w:pgNumType w:fmt="decimal"/>
          <w:cols w:space="0" w:num="1"/>
          <w:rtlGutter w:val="0"/>
          <w:docGrid w:type="linesAndChars" w:linePitch="315" w:charSpace="950"/>
        </w:sectPr>
      </w:pPr>
    </w:p>
    <w:p w14:paraId="015FEC50"/>
    <w:p w14:paraId="30D57A62">
      <w:pPr>
        <w:pStyle w:val="2"/>
      </w:pPr>
    </w:p>
    <w:p w14:paraId="48E50471"/>
    <w:p w14:paraId="00D39A4E">
      <w:pPr>
        <w:pStyle w:val="2"/>
      </w:pPr>
    </w:p>
    <w:p w14:paraId="64952CFD"/>
    <w:p w14:paraId="736145EE">
      <w:pPr>
        <w:pStyle w:val="2"/>
      </w:pPr>
    </w:p>
    <w:p w14:paraId="6AF991A5"/>
    <w:p w14:paraId="09FA1D76">
      <w:pPr>
        <w:pStyle w:val="2"/>
      </w:pPr>
    </w:p>
    <w:p w14:paraId="47847DBA"/>
    <w:p w14:paraId="5F7F0485">
      <w:pPr>
        <w:pStyle w:val="2"/>
      </w:pPr>
    </w:p>
    <w:p w14:paraId="71388684"/>
    <w:p w14:paraId="5C39F975">
      <w:pPr>
        <w:pStyle w:val="2"/>
      </w:pPr>
    </w:p>
    <w:p w14:paraId="09EFE216"/>
    <w:p w14:paraId="58468265">
      <w:pPr>
        <w:pStyle w:val="2"/>
      </w:pPr>
    </w:p>
    <w:p w14:paraId="7F04B646"/>
    <w:p w14:paraId="1EECCB28">
      <w:pPr>
        <w:pStyle w:val="2"/>
      </w:pPr>
    </w:p>
    <w:p w14:paraId="56798E5A"/>
    <w:p w14:paraId="5BBF142B">
      <w:pPr>
        <w:pStyle w:val="2"/>
      </w:pPr>
    </w:p>
    <w:p w14:paraId="4AA86F15"/>
    <w:p w14:paraId="272E3702">
      <w:pPr>
        <w:pStyle w:val="2"/>
      </w:pPr>
    </w:p>
    <w:p w14:paraId="218164B4"/>
    <w:p w14:paraId="75E383D1">
      <w:pPr>
        <w:pStyle w:val="2"/>
      </w:pPr>
    </w:p>
    <w:p w14:paraId="3B34C708">
      <w:pPr>
        <w:keepNext w:val="0"/>
        <w:keepLines w:val="0"/>
        <w:pageBreakBefore w:val="0"/>
        <w:widowControl w:val="0"/>
        <w:pBdr>
          <w:top w:val="none" w:color="auto" w:sz="0" w:space="0"/>
          <w:bottom w:val="none" w:color="auto" w:sz="0" w:space="0"/>
        </w:pBdr>
        <w:kinsoku/>
        <w:wordWrap/>
        <w:overflowPunct/>
        <w:topLinePunct w:val="0"/>
        <w:autoSpaceDE/>
        <w:autoSpaceDN/>
        <w:bidi w:val="0"/>
        <w:spacing w:after="0"/>
        <w:jc w:val="left"/>
        <w:textAlignment w:val="auto"/>
      </w:pPr>
    </w:p>
    <w:p w14:paraId="16093812">
      <w:pPr>
        <w:pStyle w:val="2"/>
        <w:ind w:left="0" w:leftChars="0" w:firstLine="0" w:firstLineChars="0"/>
      </w:pPr>
    </w:p>
    <w:p w14:paraId="4723D90F">
      <w:pPr>
        <w:pStyle w:val="2"/>
        <w:ind w:left="0" w:leftChars="0" w:firstLine="0" w:firstLineChars="0"/>
      </w:pPr>
    </w:p>
    <w:p w14:paraId="237C9EE5">
      <w:pPr>
        <w:keepNext w:val="0"/>
        <w:keepLines w:val="0"/>
        <w:pageBreakBefore w:val="0"/>
        <w:widowControl w:val="0"/>
        <w:kinsoku/>
        <w:wordWrap/>
        <w:overflowPunct/>
        <w:topLinePunct w:val="0"/>
        <w:autoSpaceDE/>
        <w:autoSpaceDN/>
        <w:bidi w:val="0"/>
        <w:adjustRightInd/>
        <w:snapToGrid/>
        <w:spacing w:line="500" w:lineRule="exact"/>
        <w:ind w:left="1136" w:leftChars="0" w:right="0" w:rightChars="0" w:hanging="1136" w:hangingChars="400"/>
        <w:jc w:val="left"/>
        <w:textAlignment w:val="auto"/>
        <w:outlineLvl w:val="9"/>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rPr>
        <mc:AlternateContent>
          <mc:Choice Requires="wps">
            <w:drawing>
              <wp:anchor distT="0" distB="0" distL="114300" distR="114300" simplePos="0" relativeHeight="251661312" behindDoc="0" locked="0" layoutInCell="1" allowOverlap="1">
                <wp:simplePos x="0" y="0"/>
                <wp:positionH relativeFrom="column">
                  <wp:posOffset>15240</wp:posOffset>
                </wp:positionH>
                <wp:positionV relativeFrom="paragraph">
                  <wp:posOffset>40640</wp:posOffset>
                </wp:positionV>
                <wp:extent cx="5687695"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687695" cy="635"/>
                        </a:xfrm>
                        <a:prstGeom prst="line">
                          <a:avLst/>
                        </a:prstGeom>
                        <a:ln w="4444"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2pt;margin-top:3.2pt;height:0.05pt;width:447.85pt;z-index:251661312;mso-width-relative:page;mso-height-relative:page;" filled="f" stroked="t" coordsize="21600,21600" o:gfxdata="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MTblrjUAAAABQEAAA8AAAAAAAAAAQAgAAAAIgAAAGRycy9kb3ducmV2LnhtbFBLAQIUABQA&#10;AAAIAIdO4kDWje7R9AEAAOYDAAAOAAAAAAAAAAEAIAAAACMBAABkcnMvZTJvRG9jLnhtbFBLBQYA&#10;AAAABgAGAFkBAACJBQAAAAA=&#10;">
                <v:fill on="f" focussize="0,0"/>
                <v:stroke weight="0.34992125984252pt" color="#000000" joinstyle="round"/>
                <v:imagedata o:title=""/>
                <o:lock v:ext="edit" aspectratio="f"/>
              </v:line>
            </w:pict>
          </mc:Fallback>
        </mc:AlternateContent>
      </w:r>
      <w:r>
        <w:rPr>
          <w:rFonts w:hint="default" w:ascii="Times New Roman" w:hAnsi="Times New Roman" w:eastAsia="方正仿宋_GBK" w:cs="Times New Roman"/>
          <w:sz w:val="28"/>
          <w:szCs w:val="28"/>
          <w:lang w:val="en-US" w:eastAsia="zh-CN"/>
        </w:rPr>
        <w:t xml:space="preserve">  抄送：</w:t>
      </w:r>
      <w:r>
        <w:rPr>
          <w:rFonts w:hint="eastAsia" w:ascii="Times New Roman" w:hAnsi="Times New Roman" w:eastAsia="方正仿宋_GBK" w:cs="Times New Roman"/>
          <w:sz w:val="28"/>
          <w:szCs w:val="28"/>
          <w:lang w:val="en-US" w:eastAsia="zh-CN"/>
        </w:rPr>
        <w:t>市民宗局，市发展改革委，</w:t>
      </w:r>
      <w:r>
        <w:rPr>
          <w:rFonts w:hint="default" w:ascii="Times New Roman" w:hAnsi="Times New Roman" w:eastAsia="方正仿宋_GBK" w:cs="Times New Roman"/>
          <w:kern w:val="2"/>
          <w:sz w:val="28"/>
          <w:szCs w:val="28"/>
          <w:lang w:val="en-US" w:eastAsia="zh-CN" w:bidi="ar-SA"/>
        </w:rPr>
        <w:t>市审计局，市</w:t>
      </w:r>
      <w:r>
        <w:rPr>
          <w:rFonts w:hint="eastAsia" w:ascii="Times New Roman" w:hAnsi="Times New Roman" w:eastAsia="方正仿宋_GBK" w:cs="Times New Roman"/>
          <w:kern w:val="2"/>
          <w:sz w:val="28"/>
          <w:szCs w:val="28"/>
          <w:lang w:val="en-US" w:eastAsia="zh-CN" w:bidi="ar-SA"/>
        </w:rPr>
        <w:t>农业农村</w:t>
      </w:r>
      <w:r>
        <w:rPr>
          <w:rFonts w:hint="default" w:ascii="Times New Roman" w:hAnsi="Times New Roman" w:eastAsia="方正仿宋_GBK" w:cs="Times New Roman"/>
          <w:kern w:val="2"/>
          <w:sz w:val="28"/>
          <w:szCs w:val="28"/>
          <w:lang w:val="en-US" w:eastAsia="zh-CN" w:bidi="ar-SA"/>
        </w:rPr>
        <w:t>局，本局预算科、国库科。</w:t>
      </w:r>
    </w:p>
    <w:p w14:paraId="7A772CEC">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0" w:firstLineChars="0"/>
        <w:textAlignment w:val="auto"/>
        <w:outlineLvl w:val="9"/>
      </w:pPr>
      <w:r>
        <w:rPr>
          <w:rFonts w:hint="default" w:ascii="Times New Roman" w:hAnsi="Times New Roman" w:eastAsia="方正仿宋_GBK" w:cs="Times New Roman"/>
        </w:rPr>
        <mc:AlternateContent>
          <mc:Choice Requires="wps">
            <w:drawing>
              <wp:anchor distT="0" distB="0" distL="114300" distR="114300" simplePos="0" relativeHeight="251662336" behindDoc="0" locked="0" layoutInCell="1" allowOverlap="1">
                <wp:simplePos x="0" y="0"/>
                <wp:positionH relativeFrom="column">
                  <wp:posOffset>23495</wp:posOffset>
                </wp:positionH>
                <wp:positionV relativeFrom="paragraph">
                  <wp:posOffset>321945</wp:posOffset>
                </wp:positionV>
                <wp:extent cx="5687695" cy="635"/>
                <wp:effectExtent l="0" t="0" r="0" b="0"/>
                <wp:wrapNone/>
                <wp:docPr id="5" name="直接连接符 5"/>
                <wp:cNvGraphicFramePr/>
                <a:graphic xmlns:a="http://schemas.openxmlformats.org/drawingml/2006/main">
                  <a:graphicData uri="http://schemas.microsoft.com/office/word/2010/wordprocessingShape">
                    <wps:wsp>
                      <wps:cNvCnPr/>
                      <wps:spPr>
                        <a:xfrm>
                          <a:off x="0" y="0"/>
                          <a:ext cx="5687695" cy="635"/>
                        </a:xfrm>
                        <a:prstGeom prst="line">
                          <a:avLst/>
                        </a:prstGeom>
                        <a:ln w="4444"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85pt;margin-top:25.35pt;height:0.05pt;width:447.85pt;z-index:251662336;mso-width-relative:page;mso-height-relative:page;" filled="f" stroked="t" coordsize="21600,21600" o:gfxdata="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GJBbp1gAAAAcBAAAPAAAAAAAAAAEAIAAAACIAAABkcnMvZG93bnJldi54bWxQSwEC&#10;FAAUAAAACACHTuJAhV2amvYBAADmAwAADgAAAAAAAAABACAAAAAlAQAAZHJzL2Uyb0RvYy54bWxQ&#10;SwUGAAAAAAYABgBZAQAAjQUAAAAA&#10;">
                <v:fill on="f" focussize="0,0"/>
                <v:stroke weight="0.34992125984252pt" color="#000000" joinstyle="round"/>
                <v:imagedata o:title=""/>
                <o:lock v:ext="edit" aspectratio="f"/>
              </v:line>
            </w:pict>
          </mc:Fallback>
        </mc:AlternateContent>
      </w:r>
      <w:r>
        <w:rPr>
          <w:rFonts w:hint="default" w:ascii="Times New Roman" w:hAnsi="Times New Roman" w:eastAsia="方正仿宋_GBK" w:cs="Times New Roman"/>
        </w:rPr>
        <mc:AlternateContent>
          <mc:Choice Requires="wps">
            <w:drawing>
              <wp:anchor distT="0" distB="0" distL="114300" distR="114300" simplePos="0" relativeHeight="251663360" behindDoc="0" locked="0" layoutInCell="1" allowOverlap="1">
                <wp:simplePos x="0" y="0"/>
                <wp:positionH relativeFrom="column">
                  <wp:posOffset>22860</wp:posOffset>
                </wp:positionH>
                <wp:positionV relativeFrom="paragraph">
                  <wp:posOffset>28575</wp:posOffset>
                </wp:positionV>
                <wp:extent cx="5687695" cy="635"/>
                <wp:effectExtent l="0" t="0" r="0" b="0"/>
                <wp:wrapNone/>
                <wp:docPr id="2" name="直接连接符 2"/>
                <wp:cNvGraphicFramePr/>
                <a:graphic xmlns:a="http://schemas.openxmlformats.org/drawingml/2006/main">
                  <a:graphicData uri="http://schemas.microsoft.com/office/word/2010/wordprocessingShape">
                    <wps:wsp>
                      <wps:cNvCnPr/>
                      <wps:spPr>
                        <a:xfrm>
                          <a:off x="0" y="0"/>
                          <a:ext cx="5687695" cy="635"/>
                        </a:xfrm>
                        <a:prstGeom prst="line">
                          <a:avLst/>
                        </a:prstGeom>
                        <a:ln w="317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8pt;margin-top:2.25pt;height:0.05pt;width:447.85pt;z-index:251663360;mso-width-relative:page;mso-height-relative:page;" filled="f" stroked="t" coordsize="21600,21600" o:gfxdata="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EYedmbVAAAABQEAAA8AAAAAAAAAAQAgAAAAIgAAAGRycy9kb3ducmV2LnhtbFBLAQIU&#10;ABQAAAAIAIdO4kDInNTr9gEAAOYDAAAOAAAAAAAAAAEAIAAAACQBAABkcnMvZTJvRG9jLnhtbFBL&#10;BQYAAAAABgAGAFkBAACMBQAAAAA=&#10;">
                <v:fill on="f" focussize="0,0"/>
                <v:stroke weight="0.25pt" color="#000000" joinstyle="round"/>
                <v:imagedata o:title=""/>
                <o:lock v:ext="edit" aspectratio="f"/>
              </v:line>
            </w:pict>
          </mc:Fallback>
        </mc:AlternateContent>
      </w:r>
      <w:r>
        <w:rPr>
          <w:rFonts w:hint="default" w:ascii="Times New Roman" w:hAnsi="Times New Roman" w:eastAsia="方正仿宋_GBK" w:cs="Times New Roman"/>
          <w:sz w:val="28"/>
          <w:szCs w:val="28"/>
          <w:lang w:val="en-US" w:eastAsia="zh-CN"/>
        </w:rPr>
        <w:t xml:space="preserve">  </w:t>
      </w:r>
      <w:r>
        <w:rPr>
          <w:rFonts w:hint="default" w:ascii="Times New Roman" w:hAnsi="Times New Roman" w:eastAsia="方正仿宋_GBK" w:cs="Times New Roman"/>
          <w:sz w:val="28"/>
          <w:szCs w:val="28"/>
        </w:rPr>
        <w:t xml:space="preserve">玉溪市财政局办公室         </w:t>
      </w:r>
      <w:r>
        <w:rPr>
          <w:rFonts w:hint="default" w:ascii="Times New Roman" w:hAnsi="Times New Roman" w:eastAsia="方正仿宋_GBK" w:cs="Times New Roman"/>
          <w:sz w:val="28"/>
          <w:szCs w:val="28"/>
          <w:lang w:val="en-US" w:eastAsia="zh-CN"/>
        </w:rPr>
        <w:t xml:space="preserve">  </w:t>
      </w:r>
      <w:r>
        <w:rPr>
          <w:rFonts w:hint="default" w:ascii="Times New Roman" w:hAnsi="Times New Roman" w:eastAsia="方正仿宋_GBK" w:cs="Times New Roman"/>
          <w:sz w:val="28"/>
          <w:szCs w:val="28"/>
        </w:rPr>
        <w:t xml:space="preserve">   </w:t>
      </w:r>
      <w:r>
        <w:rPr>
          <w:rFonts w:hint="default" w:ascii="Times New Roman" w:hAnsi="Times New Roman" w:eastAsia="方正仿宋_GBK" w:cs="Times New Roman"/>
          <w:sz w:val="28"/>
          <w:szCs w:val="28"/>
          <w:lang w:val="en-US" w:eastAsia="zh-CN"/>
        </w:rPr>
        <w:t xml:space="preserve">    </w:t>
      </w:r>
      <w:r>
        <w:rPr>
          <w:rFonts w:hint="default" w:ascii="Times New Roman" w:hAnsi="Times New Roman" w:eastAsia="方正仿宋_GBK" w:cs="Times New Roman"/>
          <w:sz w:val="28"/>
          <w:szCs w:val="28"/>
        </w:rPr>
        <w:t xml:space="preserve">   </w:t>
      </w:r>
      <w:r>
        <w:rPr>
          <w:rFonts w:hint="default" w:ascii="Times New Roman" w:hAnsi="Times New Roman" w:eastAsia="方正仿宋_GBK" w:cs="Times New Roman"/>
          <w:sz w:val="28"/>
          <w:szCs w:val="28"/>
          <w:lang w:val="en-US" w:eastAsia="zh-CN"/>
        </w:rPr>
        <w:t xml:space="preserve"> </w:t>
      </w:r>
      <w:r>
        <w:rPr>
          <w:rFonts w:hint="default" w:ascii="Times New Roman" w:hAnsi="Times New Roman" w:eastAsia="方正仿宋_GBK" w:cs="Times New Roman"/>
          <w:sz w:val="28"/>
          <w:szCs w:val="28"/>
        </w:rPr>
        <w:t>20</w:t>
      </w:r>
      <w:r>
        <w:rPr>
          <w:rFonts w:hint="default" w:ascii="Times New Roman" w:hAnsi="Times New Roman" w:eastAsia="方正仿宋_GBK" w:cs="Times New Roman"/>
          <w:sz w:val="28"/>
          <w:szCs w:val="28"/>
          <w:lang w:val="en-US" w:eastAsia="zh-CN"/>
        </w:rPr>
        <w:t>2</w:t>
      </w:r>
      <w:r>
        <w:rPr>
          <w:rFonts w:hint="eastAsia" w:ascii="Times New Roman" w:hAnsi="Times New Roman" w:eastAsia="方正仿宋_GBK" w:cs="Times New Roman"/>
          <w:sz w:val="28"/>
          <w:szCs w:val="28"/>
          <w:lang w:val="en-US" w:eastAsia="zh-CN"/>
        </w:rPr>
        <w:t>5</w:t>
      </w:r>
      <w:r>
        <w:rPr>
          <w:rFonts w:hint="default" w:ascii="Times New Roman" w:hAnsi="Times New Roman" w:eastAsia="方正仿宋_GBK" w:cs="Times New Roman"/>
          <w:sz w:val="28"/>
          <w:szCs w:val="28"/>
        </w:rPr>
        <w:t>年</w:t>
      </w:r>
      <w:r>
        <w:rPr>
          <w:rFonts w:hint="eastAsia" w:ascii="Times New Roman" w:hAnsi="Times New Roman" w:eastAsia="方正仿宋_GBK" w:cs="Times New Roman"/>
          <w:sz w:val="28"/>
          <w:szCs w:val="28"/>
          <w:lang w:val="en-US" w:eastAsia="zh-CN"/>
        </w:rPr>
        <w:t>4</w:t>
      </w:r>
      <w:r>
        <w:rPr>
          <w:rFonts w:hint="default" w:ascii="Times New Roman" w:hAnsi="Times New Roman" w:eastAsia="方正仿宋_GBK" w:cs="Times New Roman"/>
          <w:sz w:val="28"/>
          <w:szCs w:val="28"/>
        </w:rPr>
        <w:t>月</w:t>
      </w:r>
      <w:r>
        <w:rPr>
          <w:rFonts w:hint="eastAsia" w:ascii="Times New Roman" w:hAnsi="Times New Roman" w:eastAsia="方正仿宋_GBK" w:cs="Times New Roman"/>
          <w:sz w:val="28"/>
          <w:szCs w:val="28"/>
          <w:lang w:val="en-US" w:eastAsia="zh-CN"/>
        </w:rPr>
        <w:t>14</w:t>
      </w:r>
      <w:r>
        <w:rPr>
          <w:rFonts w:hint="default" w:ascii="Times New Roman" w:hAnsi="Times New Roman" w:eastAsia="方正仿宋_GBK" w:cs="Times New Roman"/>
          <w:sz w:val="28"/>
          <w:szCs w:val="28"/>
        </w:rPr>
        <w:t>日印发</w:t>
      </w:r>
      <w:r>
        <w:rPr>
          <w:rFonts w:hint="default" w:ascii="Times New Roman" w:hAnsi="Times New Roman" w:eastAsia="方正仿宋_GBK" w:cs="Times New Roman"/>
          <w:sz w:val="28"/>
          <w:szCs w:val="28"/>
          <w:lang w:val="en-US" w:eastAsia="zh-CN"/>
        </w:rPr>
        <w:t xml:space="preserve">  </w:t>
      </w:r>
    </w:p>
    <w:sectPr>
      <w:footerReference r:id="rId7" w:type="default"/>
      <w:footerReference r:id="rId8" w:type="even"/>
      <w:pgSz w:w="11906" w:h="16838"/>
      <w:pgMar w:top="1701" w:right="1474" w:bottom="1304" w:left="1587" w:header="1361" w:footer="1191" w:gutter="0"/>
      <w:pgNumType w:fmt="decimal"/>
      <w:cols w:space="0" w:num="1"/>
      <w:rtlGutter w:val="0"/>
      <w:docGrid w:type="linesAndChars" w:linePitch="315" w:charSpace="95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书宋_GBK">
    <w:panose1 w:val="02000000000000000000"/>
    <w:charset w:val="86"/>
    <w:family w:val="auto"/>
    <w:pitch w:val="default"/>
    <w:sig w:usb0="00000001" w:usb1="08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公文小标宋简">
    <w:altName w:val="方正小标宋_GBK"/>
    <w:panose1 w:val="00000000000000000000"/>
    <w:charset w:val="86"/>
    <w:family w:val="modern"/>
    <w:pitch w:val="default"/>
    <w:sig w:usb0="00000000" w:usb1="00000000" w:usb2="00000010" w:usb3="00000000" w:csb0="00040000" w:csb1="00000000"/>
  </w:font>
  <w:font w:name="方正小标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黑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CA99B5">
    <w:pPr>
      <w:pStyle w:val="3"/>
      <w:keepNext w:val="0"/>
      <w:keepLines w:val="0"/>
      <w:pageBreakBefore w:val="0"/>
      <w:widowControl w:val="0"/>
      <w:kinsoku/>
      <w:wordWrap w:val="0"/>
      <w:overflowPunct/>
      <w:topLinePunct w:val="0"/>
      <w:autoSpaceDE/>
      <w:autoSpaceDN/>
      <w:bidi w:val="0"/>
      <w:adjustRightInd/>
      <w:snapToGrid w:val="0"/>
      <w:spacing w:line="200" w:lineRule="exact"/>
      <w:ind w:right="720"/>
      <w:textAlignment w:val="auto"/>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7B1EC32">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27B1EC32">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3296A5">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4FA64E7">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34FA64E7">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3DF9E5">
    <w:pPr>
      <w:pStyle w:val="3"/>
      <w:keepNext w:val="0"/>
      <w:keepLines w:val="0"/>
      <w:pageBreakBefore w:val="0"/>
      <w:widowControl w:val="0"/>
      <w:kinsoku/>
      <w:wordWrap w:val="0"/>
      <w:overflowPunct/>
      <w:topLinePunct w:val="0"/>
      <w:autoSpaceDE/>
      <w:autoSpaceDN/>
      <w:bidi w:val="0"/>
      <w:adjustRightInd/>
      <w:snapToGrid w:val="0"/>
      <w:spacing w:line="200" w:lineRule="exact"/>
      <w:ind w:right="720"/>
      <w:textAlignment w:val="auto"/>
      <w:rPr>
        <w:rFonts w:ascii="宋体" w:hAnsi="宋体"/>
        <w:sz w:val="28"/>
        <w:szCs w:val="28"/>
      </w:rPr>
    </w:pPr>
    <w:r>
      <w:rPr>
        <w:sz w:val="2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EBC8A03">
                          <w:pPr>
                            <w:pStyle w:val="3"/>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5</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0EBC8A03">
                    <w:pPr>
                      <w:pStyle w:val="3"/>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5</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9BB9F4">
    <w:pPr>
      <w:pStyle w:val="3"/>
    </w:pP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00EBF9B">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400EBF9B">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F06103">
    <w:pPr>
      <w:pStyle w:val="3"/>
      <w:keepNext w:val="0"/>
      <w:keepLines w:val="0"/>
      <w:pageBreakBefore w:val="0"/>
      <w:widowControl w:val="0"/>
      <w:kinsoku/>
      <w:wordWrap w:val="0"/>
      <w:overflowPunct/>
      <w:topLinePunct w:val="0"/>
      <w:autoSpaceDE/>
      <w:autoSpaceDN/>
      <w:bidi w:val="0"/>
      <w:adjustRightInd/>
      <w:snapToGrid w:val="0"/>
      <w:spacing w:line="200" w:lineRule="exact"/>
      <w:ind w:right="720"/>
      <w:textAlignment w:val="auto"/>
      <w:rPr>
        <w:rFonts w:ascii="宋体" w:hAnsi="宋体"/>
        <w:sz w:val="28"/>
        <w:szCs w:val="28"/>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895349">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embedSystemFonts/>
  <w:bordersDoNotSurroundHeader w:val="0"/>
  <w:bordersDoNotSurroundFooter w:val="0"/>
  <w:documentProtection w:enforcement="0"/>
  <w:defaultTabStop w:val="420"/>
  <w:evenAndOddHeaders w:val="1"/>
  <w:drawingGridHorizontalSpacing w:val="107"/>
  <w:drawingGridVerticalSpacing w:val="158"/>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CF94B65"/>
    <w:rsid w:val="02166FE3"/>
    <w:rsid w:val="10204305"/>
    <w:rsid w:val="10492CEE"/>
    <w:rsid w:val="120065EA"/>
    <w:rsid w:val="179E7BB3"/>
    <w:rsid w:val="199E3402"/>
    <w:rsid w:val="19A52923"/>
    <w:rsid w:val="1AAF1839"/>
    <w:rsid w:val="222A710D"/>
    <w:rsid w:val="268E0AC7"/>
    <w:rsid w:val="27E867C0"/>
    <w:rsid w:val="2CF94B65"/>
    <w:rsid w:val="2DA263D1"/>
    <w:rsid w:val="32723386"/>
    <w:rsid w:val="335234DC"/>
    <w:rsid w:val="37111966"/>
    <w:rsid w:val="39891084"/>
    <w:rsid w:val="39AB0AA2"/>
    <w:rsid w:val="40BC09F6"/>
    <w:rsid w:val="44B96107"/>
    <w:rsid w:val="45C26C2F"/>
    <w:rsid w:val="45EC0A45"/>
    <w:rsid w:val="471758DA"/>
    <w:rsid w:val="50252009"/>
    <w:rsid w:val="53772781"/>
    <w:rsid w:val="54B17384"/>
    <w:rsid w:val="5A15431D"/>
    <w:rsid w:val="5A535466"/>
    <w:rsid w:val="5AFE6F2B"/>
    <w:rsid w:val="5BE15E63"/>
    <w:rsid w:val="719B1EF2"/>
    <w:rsid w:val="748F74E7"/>
    <w:rsid w:val="75F002B8"/>
    <w:rsid w:val="7AA82655"/>
    <w:rsid w:val="7F8D3AF2"/>
    <w:rsid w:val="DCBFAF7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1"/>
    <w:qFormat/>
    <w:uiPriority w:val="0"/>
    <w:pPr>
      <w:ind w:firstLine="630"/>
    </w:pPr>
    <w:rPr>
      <w:rFonts w:ascii="Times New Roman" w:hAnsi="Times New Roman" w:eastAsia="仿宋_GB2312"/>
      <w:kern w:val="0"/>
      <w:sz w:val="32"/>
      <w:szCs w:val="20"/>
    </w:rPr>
  </w:style>
  <w:style w:type="paragraph" w:styleId="3">
    <w:name w:val="footer"/>
    <w:basedOn w:val="1"/>
    <w:link w:val="9"/>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table" w:styleId="6">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页眉 Char"/>
    <w:basedOn w:val="7"/>
    <w:link w:val="4"/>
    <w:qFormat/>
    <w:uiPriority w:val="99"/>
    <w:rPr>
      <w:rFonts w:asciiTheme="minorHAnsi" w:hAnsiTheme="minorHAnsi" w:eastAsiaTheme="minorEastAsia" w:cstheme="minorBidi"/>
      <w:sz w:val="18"/>
      <w:szCs w:val="18"/>
    </w:rPr>
  </w:style>
  <w:style w:type="character" w:customStyle="1" w:styleId="9">
    <w:name w:val="页脚 Char"/>
    <w:basedOn w:val="7"/>
    <w:link w:val="3"/>
    <w:qFormat/>
    <w:uiPriority w:val="99"/>
    <w:rPr>
      <w:rFonts w:asciiTheme="minorHAnsi" w:hAnsiTheme="minorHAnsi" w:eastAsiaTheme="minorEastAsia" w:cstheme="minorBidi"/>
      <w:sz w:val="18"/>
      <w:szCs w:val="18"/>
    </w:rPr>
  </w:style>
  <w:style w:type="character" w:customStyle="1" w:styleId="10">
    <w:name w:val="font21"/>
    <w:basedOn w:val="7"/>
    <w:qFormat/>
    <w:uiPriority w:val="0"/>
    <w:rPr>
      <w:rFonts w:hint="eastAsia" w:ascii="宋体" w:hAnsi="宋体" w:eastAsia="宋体" w:cs="宋体"/>
      <w:color w:val="000000"/>
      <w:sz w:val="20"/>
      <w:szCs w:val="20"/>
      <w:u w:val="none"/>
    </w:rPr>
  </w:style>
  <w:style w:type="paragraph" w:customStyle="1" w:styleId="11">
    <w:name w:val="抄 送"/>
    <w:basedOn w:val="12"/>
    <w:qFormat/>
    <w:uiPriority w:val="0"/>
    <w:rPr>
      <w:rFonts w:ascii="Times New Roman" w:hAnsi="Times New Roman" w:eastAsia="仿宋_GB2312"/>
      <w:sz w:val="32"/>
      <w:szCs w:val="20"/>
    </w:rPr>
  </w:style>
  <w:style w:type="paragraph" w:customStyle="1" w:styleId="12">
    <w:name w:val="主题词"/>
    <w:basedOn w:val="1"/>
    <w:qFormat/>
    <w:uiPriority w:val="0"/>
    <w:pPr>
      <w:ind w:left="1246" w:hanging="1246"/>
    </w:pPr>
    <w:rPr>
      <w:rFonts w:eastAsia="公文小标宋简"/>
    </w:rPr>
  </w:style>
  <w:style w:type="character" w:customStyle="1" w:styleId="13">
    <w:name w:val="font61"/>
    <w:basedOn w:val="7"/>
    <w:qFormat/>
    <w:uiPriority w:val="0"/>
    <w:rPr>
      <w:rFonts w:hint="default" w:ascii="Times New Roman" w:hAnsi="Times New Roman" w:cs="Times New Roman"/>
      <w:color w:val="000000"/>
      <w:sz w:val="36"/>
      <w:szCs w:val="36"/>
      <w:u w:val="none"/>
    </w:rPr>
  </w:style>
  <w:style w:type="character" w:customStyle="1" w:styleId="14">
    <w:name w:val="font51"/>
    <w:basedOn w:val="7"/>
    <w:qFormat/>
    <w:uiPriority w:val="0"/>
    <w:rPr>
      <w:rFonts w:ascii="方正仿宋_GBK" w:hAnsi="方正仿宋_GBK" w:eastAsia="方正仿宋_GBK" w:cs="方正仿宋_GBK"/>
      <w:color w:val="000000"/>
      <w:sz w:val="24"/>
      <w:szCs w:val="24"/>
      <w:u w:val="none"/>
    </w:rPr>
  </w:style>
  <w:style w:type="character" w:customStyle="1" w:styleId="15">
    <w:name w:val="font01"/>
    <w:basedOn w:val="7"/>
    <w:qFormat/>
    <w:uiPriority w:val="0"/>
    <w:rPr>
      <w:rFonts w:hint="default" w:ascii="Times New Roman" w:hAnsi="Times New Roman" w:cs="Times New Roman"/>
      <w:color w:val="000000"/>
      <w:sz w:val="24"/>
      <w:szCs w:val="24"/>
      <w:u w:val="none"/>
    </w:rPr>
  </w:style>
  <w:style w:type="character" w:customStyle="1" w:styleId="16">
    <w:name w:val="font81"/>
    <w:basedOn w:val="7"/>
    <w:qFormat/>
    <w:uiPriority w:val="0"/>
    <w:rPr>
      <w:rFonts w:hint="eastAsia" w:ascii="方正仿宋_GBK" w:hAnsi="方正仿宋_GBK" w:eastAsia="方正仿宋_GBK" w:cs="方正仿宋_GBK"/>
      <w:color w:val="000000"/>
      <w:sz w:val="22"/>
      <w:szCs w:val="22"/>
      <w:u w:val="none"/>
    </w:rPr>
  </w:style>
  <w:style w:type="character" w:customStyle="1" w:styleId="17">
    <w:name w:val="font41"/>
    <w:basedOn w:val="7"/>
    <w:qFormat/>
    <w:uiPriority w:val="0"/>
    <w:rPr>
      <w:rFonts w:hint="default" w:ascii="Times New Roman" w:hAnsi="Times New Roman" w:cs="Times New Roman"/>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玉溪市直属党政机关单位</Company>
  <Pages>6</Pages>
  <Words>793</Words>
  <Characters>853</Characters>
  <Lines>2</Lines>
  <Paragraphs>1</Paragraphs>
  <TotalTime>0</TotalTime>
  <ScaleCrop>false</ScaleCrop>
  <LinksUpToDate>false</LinksUpToDate>
  <CharactersWithSpaces>882</CharactersWithSpaces>
  <Application>WPS Office_12.8.2.1117_F1E327BC-269C-435d-A152-05C5408002CA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2018-09-06T09:32:00Z</dcterms:created>
  <dc:creator>市财政局</dc:creator>
  <cp:lastModifiedBy>user</cp:lastModifiedBy>
  <dcterms:modified xsi:type="dcterms:W3CDTF">2025-06-12T15:20:47Z</dcterms:modified>
  <dc:title>玉溪市财政局文件</dc:title>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2052-12.8.2.1117</vt:lpwstr>
  </property>
  <property fmtid="{D5CDD505-2E9C-101B-9397-08002B2CF9AE}" pid="3" name="docranid">
    <vt:lpwstr>457DDD9DFF5447448CF2D47B17CDF9FC</vt:lpwstr>
  </property>
  <property fmtid="{D5CDD505-2E9C-101B-9397-08002B2CF9AE}" pid="4" name="ICV">
    <vt:lpwstr>24C7A71F8A824F19AF272CE80DAF4B6E</vt:lpwstr>
  </property>
  <property fmtid="{D5CDD505-2E9C-101B-9397-08002B2CF9AE}" pid="5" name="KSOTemplateDocerSaveRecord">
    <vt:lpwstr>eyJoZGlkIjoiMmYxYWQ4ZjgzNWI3NTE3NzViZjE2N2E4Yzc4OWY2NjQiLCJ1c2VySWQiOiI0MDkxMzE4MjYifQ==</vt:lpwstr>
  </property>
</Properties>
</file>