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4AC8C2">
      <w:pPr>
        <w:keepNext w:val="0"/>
        <w:keepLines w:val="0"/>
        <w:pageBreakBefore w:val="0"/>
        <w:widowControl w:val="0"/>
        <w:kinsoku/>
        <w:wordWrap/>
        <w:overflowPunct/>
        <w:topLinePunct w:val="0"/>
        <w:autoSpaceDE/>
        <w:autoSpaceDN/>
        <w:bidi w:val="0"/>
        <w:adjustRightInd/>
        <w:snapToGrid/>
        <w:spacing w:beforeAutospacing="0" w:afterAutospacing="0" w:line="198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bCs/>
          <w:color w:val="FF0000"/>
          <w:spacing w:val="-14"/>
          <w:w w:val="90"/>
          <w:sz w:val="122"/>
          <w:szCs w:val="122"/>
        </w:rPr>
      </w:pPr>
    </w:p>
    <w:p w14:paraId="359264D7">
      <w:pPr>
        <w:keepNext w:val="0"/>
        <w:keepLines w:val="0"/>
        <w:pageBreakBefore w:val="0"/>
        <w:widowControl w:val="0"/>
        <w:kinsoku/>
        <w:wordWrap/>
        <w:overflowPunct/>
        <w:topLinePunct w:val="0"/>
        <w:autoSpaceDE/>
        <w:autoSpaceDN/>
        <w:bidi w:val="0"/>
        <w:adjustRightInd/>
        <w:snapToGrid/>
        <w:spacing w:line="1300" w:lineRule="exact"/>
        <w:ind w:left="0" w:leftChars="0" w:right="0" w:rightChars="0" w:firstLine="0" w:firstLineChars="0"/>
        <w:jc w:val="both"/>
        <w:textAlignment w:val="auto"/>
        <w:outlineLvl w:val="9"/>
        <w:rPr>
          <w:rFonts w:hint="eastAsia" w:ascii="仿宋_GB2312" w:eastAsia="仿宋_GB2312"/>
          <w:color w:val="000000"/>
          <w:spacing w:val="-2"/>
          <w:w w:val="90"/>
          <w:sz w:val="32"/>
          <w:szCs w:val="32"/>
        </w:rPr>
      </w:pPr>
    </w:p>
    <w:p w14:paraId="1252DF41">
      <w:pPr>
        <w:keepNext w:val="0"/>
        <w:keepLines w:val="0"/>
        <w:pageBreakBefore w:val="0"/>
        <w:widowControl w:val="0"/>
        <w:tabs>
          <w:tab w:val="left" w:pos="8610"/>
        </w:tabs>
        <w:kinsoku/>
        <w:wordWrap/>
        <w:overflowPunct/>
        <w:topLinePunct w:val="0"/>
        <w:autoSpaceDE/>
        <w:autoSpaceDN/>
        <w:bidi w:val="0"/>
        <w:adjustRightInd/>
        <w:spacing w:before="0" w:beforeLines="0" w:after="0" w:afterLines="0" w:line="560" w:lineRule="exact"/>
        <w:ind w:left="0" w:leftChars="0" w:right="0" w:rightChars="0"/>
        <w:jc w:val="center"/>
        <w:textAlignment w:val="auto"/>
        <w:outlineLvl w:val="9"/>
        <w:rPr>
          <w:rFonts w:hint="eastAsia" w:ascii="楷体_GB2312" w:hAnsi="楷体_GB2312" w:eastAsia="楷体_GB2312" w:cs="楷体_GB2312"/>
          <w:sz w:val="32"/>
          <w:szCs w:val="32"/>
        </w:rPr>
      </w:pPr>
      <w:r>
        <w:rPr>
          <w:rFonts w:hint="default" w:ascii="Times New Roman" w:hAnsi="Times New Roman" w:eastAsia="方正仿宋_GBK" w:cs="Times New Roman"/>
          <w:sz w:val="32"/>
          <w:szCs w:val="32"/>
        </w:rPr>
        <w:t>玉财</w:t>
      </w:r>
      <w:r>
        <w:rPr>
          <w:rFonts w:hint="eastAsia" w:ascii="方正仿宋_GBK" w:hAnsi="方正仿宋_GBK" w:eastAsia="方正仿宋_GBK" w:cs="方正仿宋_GBK"/>
          <w:sz w:val="32"/>
          <w:szCs w:val="32"/>
          <w:lang w:val="en-US" w:eastAsia="zh-CN"/>
        </w:rPr>
        <w:t>农</w:t>
      </w:r>
      <w:r>
        <w:rPr>
          <w:rFonts w:hint="default" w:ascii="Times New Roman" w:hAnsi="Times New Roman" w:eastAsia="方正仿宋_GBK" w:cs="Times New Roman"/>
          <w:sz w:val="32"/>
          <w:szCs w:val="32"/>
        </w:rPr>
        <w:t>〔20</w:t>
      </w:r>
      <w:r>
        <w:rPr>
          <w:rFonts w:hint="eastAsia" w:ascii="Times New Roman" w:hAnsi="Times New Roman" w:eastAsia="方正仿宋_GBK" w:cs="Times New Roman"/>
          <w:sz w:val="32"/>
          <w:szCs w:val="32"/>
          <w:lang w:val="en-US" w:eastAsia="zh-CN"/>
        </w:rPr>
        <w:t>25</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38</w:t>
      </w:r>
      <w:r>
        <w:rPr>
          <w:rFonts w:hint="default" w:ascii="Times New Roman" w:hAnsi="Times New Roman" w:eastAsia="方正仿宋_GBK" w:cs="Times New Roman"/>
          <w:sz w:val="32"/>
          <w:szCs w:val="32"/>
        </w:rPr>
        <w:t>号</w:t>
      </w:r>
    </w:p>
    <w:p w14:paraId="75988F3E">
      <w:pPr>
        <w:keepNext w:val="0"/>
        <w:keepLines w:val="0"/>
        <w:pageBreakBefore w:val="0"/>
        <w:widowControl w:val="0"/>
        <w:kinsoku/>
        <w:wordWrap/>
        <w:overflowPunct/>
        <w:topLinePunct w:val="0"/>
        <w:autoSpaceDE/>
        <w:autoSpaceDN/>
        <w:bidi w:val="0"/>
        <w:adjustRightInd/>
        <w:spacing w:before="0" w:beforeLines="0" w:after="160" w:afterLines="50" w:afterAutospacing="0" w:line="590" w:lineRule="exact"/>
        <w:ind w:left="0" w:leftChars="0" w:right="0" w:rightChars="0"/>
        <w:textAlignment w:val="auto"/>
        <w:outlineLvl w:val="9"/>
        <w:rPr>
          <w:rFonts w:hint="default" w:ascii="Times New Roman" w:hAnsi="Times New Roman" w:eastAsia="仿宋_GB2312" w:cs="Times New Roman"/>
          <w:color w:val="000000"/>
          <w:spacing w:val="-2"/>
          <w:w w:val="90"/>
          <w:sz w:val="32"/>
          <w:szCs w:val="32"/>
        </w:rPr>
      </w:pPr>
      <w:bookmarkStart w:id="3" w:name="_GoBack"/>
      <w:bookmarkEnd w:id="3"/>
    </w:p>
    <w:p w14:paraId="1D6A1FDB">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val="0"/>
        <w:spacing w:beforeAutospacing="0" w:after="0" w:line="560" w:lineRule="exact"/>
        <w:jc w:val="center"/>
        <w:textAlignment w:val="auto"/>
        <w:rPr>
          <w:rFonts w:hint="eastAsia" w:ascii="Times New Roman" w:hAnsi="Times New Roman" w:eastAsia="方正小标宋_GBK" w:cs="Times New Roman"/>
          <w:spacing w:val="0"/>
          <w:sz w:val="40"/>
          <w:szCs w:val="40"/>
          <w:lang w:eastAsia="zh-CN"/>
        </w:rPr>
      </w:pPr>
      <w:r>
        <w:rPr>
          <w:rFonts w:hint="default" w:ascii="Times New Roman" w:hAnsi="Times New Roman" w:eastAsia="方正小标宋_GBK" w:cs="Times New Roman"/>
          <w:spacing w:val="0"/>
          <w:sz w:val="40"/>
          <w:szCs w:val="40"/>
          <w:lang w:eastAsia="zh-CN"/>
        </w:rPr>
        <w:t>玉溪市财政局关于下达2025年</w:t>
      </w:r>
      <w:r>
        <w:rPr>
          <w:rFonts w:hint="eastAsia" w:ascii="Times New Roman" w:hAnsi="Times New Roman" w:eastAsia="方正小标宋_GBK" w:cs="Times New Roman"/>
          <w:spacing w:val="0"/>
          <w:sz w:val="40"/>
          <w:szCs w:val="40"/>
          <w:lang w:eastAsia="zh-CN"/>
        </w:rPr>
        <w:t>第二批</w:t>
      </w:r>
    </w:p>
    <w:p w14:paraId="7CDDF743">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val="0"/>
        <w:spacing w:after="0" w:line="560" w:lineRule="exact"/>
        <w:jc w:val="center"/>
        <w:textAlignment w:val="auto"/>
        <w:rPr>
          <w:rFonts w:hint="default" w:ascii="Times New Roman" w:hAnsi="Times New Roman" w:eastAsia="方正小标宋_GBK" w:cs="Times New Roman"/>
          <w:spacing w:val="0"/>
          <w:sz w:val="40"/>
          <w:szCs w:val="40"/>
          <w:lang w:eastAsia="zh-CN"/>
        </w:rPr>
      </w:pPr>
      <w:r>
        <w:rPr>
          <w:rFonts w:hint="eastAsia" w:ascii="Times New Roman" w:hAnsi="Times New Roman" w:eastAsia="方正小标宋_GBK" w:cs="Times New Roman"/>
          <w:spacing w:val="0"/>
          <w:sz w:val="40"/>
          <w:szCs w:val="40"/>
          <w:lang w:val="en-US" w:eastAsia="zh-CN"/>
        </w:rPr>
        <w:t>中央</w:t>
      </w:r>
      <w:r>
        <w:rPr>
          <w:rFonts w:hint="default" w:ascii="Times New Roman" w:hAnsi="Times New Roman" w:eastAsia="方正小标宋_GBK" w:cs="Times New Roman"/>
          <w:spacing w:val="0"/>
          <w:sz w:val="40"/>
          <w:szCs w:val="40"/>
          <w:lang w:eastAsia="zh-CN"/>
        </w:rPr>
        <w:t>财政衔接推进乡村振兴补助资金的通知</w:t>
      </w:r>
    </w:p>
    <w:p w14:paraId="0EBF7F44">
      <w:pPr>
        <w:keepNext w:val="0"/>
        <w:keepLines w:val="0"/>
        <w:pageBreakBefore w:val="0"/>
        <w:widowControl w:val="0"/>
        <w:pBdr>
          <w:top w:val="none" w:color="auto" w:sz="0" w:space="0"/>
          <w:bottom w:val="none" w:color="auto" w:sz="0" w:space="0"/>
        </w:pBdr>
        <w:kinsoku/>
        <w:wordWrap/>
        <w:overflowPunct/>
        <w:topLinePunct w:val="0"/>
        <w:autoSpaceDE/>
        <w:autoSpaceDN/>
        <w:bidi w:val="0"/>
        <w:snapToGrid w:val="0"/>
        <w:spacing w:after="0" w:line="560" w:lineRule="exact"/>
        <w:jc w:val="center"/>
        <w:textAlignment w:val="auto"/>
        <w:rPr>
          <w:rFonts w:hint="default" w:ascii="Times New Roman" w:hAnsi="Times New Roman" w:eastAsia="方正仿宋_GBK" w:cs="Times New Roman"/>
          <w:color w:val="auto"/>
          <w:spacing w:val="0"/>
          <w:sz w:val="32"/>
          <w:szCs w:val="32"/>
          <w:lang w:eastAsia="zh-CN"/>
        </w:rPr>
      </w:pPr>
    </w:p>
    <w:p w14:paraId="43156BCA">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val="0"/>
        <w:snapToGrid w:val="0"/>
        <w:spacing w:after="0" w:line="560" w:lineRule="exact"/>
        <w:jc w:val="both"/>
        <w:textAlignment w:val="auto"/>
        <w:rPr>
          <w:rFonts w:hint="default" w:ascii="Times New Roman" w:hAnsi="Times New Roman" w:eastAsia="方正仿宋_GBK" w:cs="Times New Roman"/>
          <w:color w:val="auto"/>
          <w:spacing w:val="0"/>
          <w:sz w:val="32"/>
          <w:szCs w:val="32"/>
          <w:lang w:eastAsia="zh-CN"/>
        </w:rPr>
      </w:pPr>
      <w:r>
        <w:rPr>
          <w:rFonts w:hint="default" w:ascii="Times New Roman" w:hAnsi="Times New Roman" w:eastAsia="方正仿宋_GBK" w:cs="Times New Roman"/>
          <w:color w:val="auto"/>
          <w:spacing w:val="0"/>
          <w:sz w:val="32"/>
          <w:szCs w:val="32"/>
          <w:lang w:eastAsia="zh-CN"/>
        </w:rPr>
        <w:t>各县（市、区）财政局：</w:t>
      </w:r>
      <w:bookmarkStart w:id="0" w:name="正文开始"/>
      <w:bookmarkEnd w:id="0"/>
    </w:p>
    <w:p w14:paraId="33F0A5EE">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firstLine="648" w:firstLineChars="200"/>
        <w:textAlignment w:val="auto"/>
        <w:rPr>
          <w:rFonts w:hint="default" w:ascii="Times New Roman" w:hAnsi="Times New Roman" w:eastAsia="方正仿宋_GBK" w:cs="Times New Roman"/>
          <w:spacing w:val="0"/>
          <w:sz w:val="32"/>
          <w:szCs w:val="32"/>
          <w:lang w:eastAsia="zh-CN"/>
        </w:rPr>
      </w:pPr>
      <w:r>
        <w:rPr>
          <w:rFonts w:hint="default" w:ascii="Times New Roman" w:hAnsi="Times New Roman" w:eastAsia="方正仿宋_GBK" w:cs="Times New Roman"/>
          <w:color w:val="auto"/>
          <w:spacing w:val="0"/>
          <w:sz w:val="32"/>
          <w:szCs w:val="32"/>
          <w:lang w:eastAsia="zh-CN"/>
        </w:rPr>
        <w:t>根据</w:t>
      </w:r>
      <w:r>
        <w:rPr>
          <w:rFonts w:hint="default" w:ascii="Times New Roman" w:hAnsi="Times New Roman" w:eastAsia="方正仿宋_GBK" w:cs="Times New Roman"/>
          <w:color w:val="auto"/>
          <w:spacing w:val="0"/>
          <w:sz w:val="32"/>
          <w:szCs w:val="32"/>
        </w:rPr>
        <w:t>《</w:t>
      </w:r>
      <w:r>
        <w:rPr>
          <w:rFonts w:hint="default" w:ascii="Times New Roman" w:hAnsi="Times New Roman" w:eastAsia="方正仿宋_GBK" w:cs="Times New Roman"/>
          <w:color w:val="auto"/>
          <w:spacing w:val="0"/>
          <w:sz w:val="32"/>
          <w:szCs w:val="32"/>
          <w:lang w:eastAsia="zh-CN"/>
        </w:rPr>
        <w:t>云南省财政厅关于下达2025年第二批中央财政衔接推进乡村振兴补助资金的通知</w:t>
      </w:r>
      <w:r>
        <w:rPr>
          <w:rFonts w:hint="default" w:ascii="Times New Roman" w:hAnsi="Times New Roman" w:eastAsia="方正仿宋_GBK" w:cs="Times New Roman"/>
          <w:color w:val="auto"/>
          <w:spacing w:val="0"/>
          <w:sz w:val="32"/>
          <w:szCs w:val="32"/>
        </w:rPr>
        <w:t>》（</w:t>
      </w:r>
      <w:r>
        <w:rPr>
          <w:rFonts w:hint="default" w:ascii="Times New Roman" w:hAnsi="Times New Roman" w:eastAsia="方正仿宋_GBK" w:cs="Times New Roman"/>
          <w:color w:val="auto"/>
          <w:spacing w:val="0"/>
          <w:sz w:val="32"/>
          <w:szCs w:val="32"/>
          <w:lang w:eastAsia="zh-CN"/>
        </w:rPr>
        <w:t>云财农</w:t>
      </w:r>
      <w:r>
        <w:rPr>
          <w:rFonts w:hint="default" w:ascii="Times New Roman" w:hAnsi="Times New Roman" w:eastAsia="方正仿宋_GBK" w:cs="Times New Roman"/>
          <w:color w:val="auto"/>
          <w:spacing w:val="0"/>
          <w:sz w:val="32"/>
          <w:szCs w:val="32"/>
        </w:rPr>
        <w:t>〔20</w:t>
      </w:r>
      <w:r>
        <w:rPr>
          <w:rFonts w:hint="default" w:ascii="Times New Roman" w:hAnsi="Times New Roman" w:eastAsia="方正仿宋_GBK" w:cs="Times New Roman"/>
          <w:color w:val="auto"/>
          <w:spacing w:val="0"/>
          <w:sz w:val="32"/>
          <w:szCs w:val="32"/>
          <w:lang w:val="en-US" w:eastAsia="zh-CN"/>
        </w:rPr>
        <w:t>25</w:t>
      </w:r>
      <w:r>
        <w:rPr>
          <w:rFonts w:hint="default" w:ascii="Times New Roman" w:hAnsi="Times New Roman" w:eastAsia="方正仿宋_GBK" w:cs="Times New Roman"/>
          <w:color w:val="auto"/>
          <w:spacing w:val="0"/>
          <w:sz w:val="32"/>
          <w:szCs w:val="32"/>
        </w:rPr>
        <w:t>〕</w:t>
      </w:r>
      <w:r>
        <w:rPr>
          <w:rFonts w:hint="default" w:ascii="Times New Roman" w:hAnsi="Times New Roman" w:eastAsia="方正仿宋_GBK" w:cs="Times New Roman"/>
          <w:color w:val="auto"/>
          <w:spacing w:val="0"/>
          <w:sz w:val="32"/>
          <w:szCs w:val="32"/>
          <w:lang w:val="en-US" w:eastAsia="zh-CN"/>
        </w:rPr>
        <w:t>64</w:t>
      </w:r>
      <w:r>
        <w:rPr>
          <w:rFonts w:hint="default" w:ascii="Times New Roman" w:hAnsi="Times New Roman" w:eastAsia="方正仿宋_GBK" w:cs="Times New Roman"/>
          <w:color w:val="auto"/>
          <w:spacing w:val="0"/>
          <w:sz w:val="32"/>
          <w:szCs w:val="32"/>
        </w:rPr>
        <w:t>号）</w:t>
      </w:r>
      <w:r>
        <w:rPr>
          <w:rFonts w:hint="default" w:ascii="Times New Roman" w:hAnsi="Times New Roman" w:eastAsia="方正仿宋_GBK" w:cs="Times New Roman"/>
          <w:color w:val="auto"/>
          <w:spacing w:val="0"/>
          <w:sz w:val="32"/>
          <w:szCs w:val="32"/>
          <w:lang w:eastAsia="zh-CN"/>
        </w:rPr>
        <w:t>，</w:t>
      </w:r>
      <w:r>
        <w:rPr>
          <w:rFonts w:hint="default" w:ascii="Times New Roman" w:hAnsi="Times New Roman" w:eastAsia="方正仿宋_GBK" w:cs="Times New Roman"/>
          <w:spacing w:val="0"/>
          <w:sz w:val="32"/>
          <w:szCs w:val="32"/>
          <w:lang w:eastAsia="zh-CN"/>
        </w:rPr>
        <w:t>现下达202</w:t>
      </w:r>
      <w:r>
        <w:rPr>
          <w:rFonts w:hint="default" w:ascii="Times New Roman" w:hAnsi="Times New Roman" w:eastAsia="方正仿宋_GBK" w:cs="Times New Roman"/>
          <w:spacing w:val="0"/>
          <w:sz w:val="32"/>
          <w:szCs w:val="32"/>
          <w:lang w:val="en-US" w:eastAsia="zh-CN"/>
        </w:rPr>
        <w:t>5</w:t>
      </w:r>
      <w:r>
        <w:rPr>
          <w:rFonts w:hint="default" w:ascii="Times New Roman" w:hAnsi="Times New Roman" w:eastAsia="方正仿宋_GBK" w:cs="Times New Roman"/>
          <w:spacing w:val="0"/>
          <w:sz w:val="32"/>
          <w:szCs w:val="32"/>
          <w:lang w:eastAsia="zh-CN"/>
        </w:rPr>
        <w:t>年第二批中央财政衔接推进乡村振兴补助资金（详见附件</w:t>
      </w:r>
      <w:r>
        <w:rPr>
          <w:rFonts w:hint="default" w:ascii="Times New Roman" w:hAnsi="Times New Roman" w:eastAsia="方正仿宋_GBK" w:cs="Times New Roman"/>
          <w:spacing w:val="0"/>
          <w:sz w:val="32"/>
          <w:szCs w:val="32"/>
          <w:lang w:val="en-US" w:eastAsia="zh-CN"/>
        </w:rPr>
        <w:t>1</w:t>
      </w:r>
      <w:r>
        <w:rPr>
          <w:rFonts w:hint="default" w:ascii="Times New Roman" w:hAnsi="Times New Roman" w:eastAsia="方正仿宋_GBK" w:cs="Times New Roman"/>
          <w:spacing w:val="0"/>
          <w:sz w:val="32"/>
          <w:szCs w:val="32"/>
          <w:lang w:eastAsia="zh-CN"/>
        </w:rPr>
        <w:t>），支出列</w:t>
      </w:r>
      <w:r>
        <w:rPr>
          <w:rFonts w:hint="default" w:ascii="Times New Roman" w:hAnsi="Times New Roman" w:eastAsia="方正仿宋_GBK" w:cs="Times New Roman"/>
          <w:spacing w:val="0"/>
          <w:sz w:val="32"/>
          <w:szCs w:val="32"/>
          <w:highlight w:val="none"/>
          <w:lang w:eastAsia="zh-CN"/>
        </w:rPr>
        <w:t>202</w:t>
      </w:r>
      <w:r>
        <w:rPr>
          <w:rFonts w:hint="default" w:ascii="Times New Roman" w:hAnsi="Times New Roman" w:eastAsia="方正仿宋_GBK" w:cs="Times New Roman"/>
          <w:spacing w:val="0"/>
          <w:sz w:val="32"/>
          <w:szCs w:val="32"/>
          <w:highlight w:val="none"/>
          <w:lang w:val="en-US" w:eastAsia="zh-CN"/>
        </w:rPr>
        <w:t>5</w:t>
      </w:r>
      <w:r>
        <w:rPr>
          <w:rFonts w:hint="eastAsia" w:ascii="方正仿宋_GBK" w:hAnsi="方正仿宋_GBK" w:eastAsia="方正仿宋_GBK" w:cs="方正仿宋_GBK"/>
          <w:spacing w:val="0"/>
          <w:sz w:val="32"/>
          <w:szCs w:val="32"/>
          <w:highlight w:val="none"/>
          <w:lang w:eastAsia="zh-CN"/>
        </w:rPr>
        <w:t>年“</w:t>
      </w:r>
      <w:r>
        <w:rPr>
          <w:rFonts w:hint="default" w:ascii="Times New Roman" w:hAnsi="Times New Roman" w:eastAsia="方正仿宋_GBK" w:cs="Times New Roman"/>
          <w:spacing w:val="0"/>
          <w:sz w:val="32"/>
          <w:szCs w:val="32"/>
          <w:highlight w:val="none"/>
          <w:lang w:eastAsia="zh-CN"/>
        </w:rPr>
        <w:t>21305巩固脱贫攻坚成果衔接乡村振</w:t>
      </w:r>
      <w:r>
        <w:rPr>
          <w:rFonts w:hint="eastAsia" w:ascii="方正仿宋_GBK" w:hAnsi="方正仿宋_GBK" w:eastAsia="方正仿宋_GBK" w:cs="方正仿宋_GBK"/>
          <w:spacing w:val="0"/>
          <w:sz w:val="32"/>
          <w:szCs w:val="32"/>
          <w:highlight w:val="none"/>
          <w:lang w:eastAsia="zh-CN"/>
        </w:rPr>
        <w:t>兴”相关科目（“项级”科目根据</w:t>
      </w:r>
      <w:r>
        <w:rPr>
          <w:rFonts w:hint="default" w:ascii="Times New Roman" w:hAnsi="Times New Roman" w:eastAsia="方正仿宋_GBK" w:cs="Times New Roman"/>
          <w:spacing w:val="0"/>
          <w:sz w:val="32"/>
          <w:szCs w:val="32"/>
          <w:highlight w:val="none"/>
          <w:lang w:eastAsia="zh-CN"/>
        </w:rPr>
        <w:t>具体实施项目确定）</w:t>
      </w:r>
      <w:r>
        <w:rPr>
          <w:rFonts w:hint="default"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highlight w:val="none"/>
          <w:lang w:eastAsia="zh-CN"/>
        </w:rPr>
        <w:t>经济科目</w:t>
      </w:r>
      <w:r>
        <w:rPr>
          <w:rFonts w:hint="eastAsia" w:ascii="方正仿宋_GBK" w:hAnsi="方正仿宋_GBK" w:eastAsia="方正仿宋_GBK" w:cs="方正仿宋_GBK"/>
          <w:spacing w:val="0"/>
          <w:sz w:val="32"/>
          <w:szCs w:val="32"/>
          <w:highlight w:val="none"/>
          <w:lang w:eastAsia="zh-CN"/>
        </w:rPr>
        <w:t>列“</w:t>
      </w:r>
      <w:r>
        <w:rPr>
          <w:rFonts w:hint="default" w:ascii="Times New Roman" w:hAnsi="Times New Roman" w:eastAsia="方正仿宋_GBK" w:cs="Times New Roman"/>
          <w:spacing w:val="0"/>
          <w:sz w:val="32"/>
          <w:szCs w:val="32"/>
          <w:highlight w:val="none"/>
          <w:lang w:eastAsia="zh-CN"/>
        </w:rPr>
        <w:t>51301上下级政府间转移</w:t>
      </w:r>
      <w:r>
        <w:rPr>
          <w:rFonts w:hint="eastAsia" w:ascii="方正仿宋_GBK" w:hAnsi="方正仿宋_GBK" w:eastAsia="方正仿宋_GBK" w:cs="方正仿宋_GBK"/>
          <w:spacing w:val="0"/>
          <w:sz w:val="32"/>
          <w:szCs w:val="32"/>
          <w:highlight w:val="none"/>
          <w:lang w:eastAsia="zh-CN"/>
        </w:rPr>
        <w:t>性支出”</w:t>
      </w:r>
      <w:r>
        <w:rPr>
          <w:rFonts w:hint="eastAsia" w:ascii="方正仿宋_GBK" w:hAnsi="方正仿宋_GBK" w:eastAsia="方正仿宋_GBK" w:cs="方正仿宋_GBK"/>
          <w:spacing w:val="0"/>
          <w:sz w:val="32"/>
          <w:szCs w:val="32"/>
          <w:lang w:eastAsia="zh-CN"/>
        </w:rPr>
        <w:t>。现就资金使用</w:t>
      </w:r>
      <w:r>
        <w:rPr>
          <w:rFonts w:hint="default" w:ascii="Times New Roman" w:hAnsi="Times New Roman" w:eastAsia="方正仿宋_GBK" w:cs="Times New Roman"/>
          <w:spacing w:val="0"/>
          <w:sz w:val="32"/>
          <w:szCs w:val="32"/>
          <w:lang w:eastAsia="zh-CN"/>
        </w:rPr>
        <w:t>管理有关事宜通知如下：</w:t>
      </w:r>
    </w:p>
    <w:p w14:paraId="6910C438">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648" w:firstLineChars="200"/>
        <w:jc w:val="both"/>
        <w:textAlignment w:val="auto"/>
        <w:rPr>
          <w:rFonts w:hint="default" w:ascii="Times New Roman" w:hAnsi="Times New Roman" w:eastAsia="方正仿宋_GBK" w:cs="Times New Roman"/>
          <w:color w:val="auto"/>
          <w:spacing w:val="0"/>
          <w:sz w:val="32"/>
          <w:szCs w:val="32"/>
          <w:lang w:eastAsia="zh-CN"/>
        </w:rPr>
      </w:pPr>
      <w:r>
        <w:rPr>
          <w:rFonts w:hint="eastAsia" w:ascii="方正黑体_GBK" w:hAnsi="方正黑体_GBK" w:eastAsia="方正黑体_GBK" w:cs="方正黑体_GBK"/>
          <w:color w:val="auto"/>
          <w:spacing w:val="0"/>
          <w:sz w:val="32"/>
          <w:szCs w:val="32"/>
          <w:lang w:eastAsia="zh-CN"/>
        </w:rPr>
        <w:t>一、切实管好用好衔接资金。</w:t>
      </w:r>
      <w:r>
        <w:rPr>
          <w:rFonts w:hint="default" w:ascii="Times New Roman" w:hAnsi="Times New Roman" w:eastAsia="方正仿宋_GBK" w:cs="Times New Roman"/>
          <w:color w:val="auto"/>
          <w:spacing w:val="0"/>
          <w:sz w:val="32"/>
          <w:szCs w:val="32"/>
          <w:lang w:eastAsia="zh-CN"/>
        </w:rPr>
        <w:t>认真贯彻落实党中央、国务院关于巩固拓展脱贫攻坚成果同乡村振兴有效衔接的决策部署和省委、省政府工作要求，严格按照《财政部 国家乡村振兴局 国家发展改革委 国家民委 农业农村部 国家林业和草原局关于印发〈中央财政衔接推进乡村振兴补助资金管理办法〉的通知》（财农〔2021〕19号）、《财政部 农业农村部 国家乡村振兴局 国家发展改革委 国家民委 国家林草局关于加强中央财政衔接推进乡村振兴补助资金使用管理的指导意见》（财农〔2022〕14号）和《云南省财政厅等六部门关于修订〈加强中央和省级财政衔接推进乡村振兴补助资金使用管理的实施意见〉的通知》（云财规〔202</w:t>
      </w:r>
      <w:r>
        <w:rPr>
          <w:rFonts w:hint="default" w:ascii="Times New Roman" w:hAnsi="Times New Roman" w:eastAsia="方正仿宋_GBK" w:cs="Times New Roman"/>
          <w:color w:val="auto"/>
          <w:spacing w:val="0"/>
          <w:sz w:val="32"/>
          <w:szCs w:val="32"/>
          <w:lang w:val="en-US" w:eastAsia="zh-CN"/>
        </w:rPr>
        <w:t>4</w:t>
      </w:r>
      <w:r>
        <w:rPr>
          <w:rFonts w:hint="default" w:ascii="Times New Roman" w:hAnsi="Times New Roman" w:eastAsia="方正仿宋_GBK" w:cs="Times New Roman"/>
          <w:color w:val="auto"/>
          <w:spacing w:val="0"/>
          <w:sz w:val="32"/>
          <w:szCs w:val="32"/>
          <w:lang w:eastAsia="zh-CN"/>
        </w:rPr>
        <w:t>〕</w:t>
      </w:r>
      <w:r>
        <w:rPr>
          <w:rFonts w:hint="default" w:ascii="Times New Roman" w:hAnsi="Times New Roman" w:eastAsia="方正仿宋_GBK" w:cs="Times New Roman"/>
          <w:color w:val="auto"/>
          <w:spacing w:val="0"/>
          <w:sz w:val="32"/>
          <w:szCs w:val="32"/>
          <w:lang w:val="en-US" w:eastAsia="zh-CN"/>
        </w:rPr>
        <w:t>10</w:t>
      </w:r>
      <w:r>
        <w:rPr>
          <w:rFonts w:hint="default" w:ascii="Times New Roman" w:hAnsi="Times New Roman" w:eastAsia="方正仿宋_GBK" w:cs="Times New Roman"/>
          <w:color w:val="auto"/>
          <w:spacing w:val="0"/>
          <w:sz w:val="32"/>
          <w:szCs w:val="32"/>
          <w:lang w:eastAsia="zh-CN"/>
        </w:rPr>
        <w:t>号）等规定安排使用资金，督促指导各地加强资金项目管理，优先选择前期工作到位的项目，将资金尽快落到具体项目，加强项目实施的跟踪调度，加快资金支出，支出情况将作为资金分配的重要因素。持续强化资金监管，切实管好用好资金，充分发挥资金使用效益。</w:t>
      </w:r>
    </w:p>
    <w:p w14:paraId="1151DAF8">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648" w:firstLineChars="200"/>
        <w:textAlignment w:val="auto"/>
        <w:rPr>
          <w:rFonts w:hint="default" w:ascii="Times New Roman" w:hAnsi="Times New Roman" w:eastAsia="方正仿宋_GBK" w:cs="Times New Roman"/>
          <w:spacing w:val="0"/>
          <w:sz w:val="32"/>
          <w:szCs w:val="32"/>
          <w:lang w:eastAsia="zh-CN"/>
        </w:rPr>
      </w:pPr>
      <w:r>
        <w:rPr>
          <w:rFonts w:hint="eastAsia" w:ascii="方正黑体_GBK" w:hAnsi="方正黑体_GBK" w:eastAsia="方正黑体_GBK" w:cs="方正黑体_GBK"/>
          <w:spacing w:val="0"/>
          <w:sz w:val="32"/>
          <w:szCs w:val="32"/>
          <w:lang w:eastAsia="zh-CN"/>
        </w:rPr>
        <w:t>二、突出衔接资金支持重点。</w:t>
      </w:r>
      <w:r>
        <w:rPr>
          <w:rFonts w:hint="default" w:ascii="Times New Roman" w:hAnsi="Times New Roman" w:eastAsia="方正仿宋_GBK" w:cs="Times New Roman"/>
          <w:color w:val="auto"/>
          <w:spacing w:val="0"/>
          <w:sz w:val="32"/>
          <w:szCs w:val="32"/>
          <w:lang w:eastAsia="zh-CN"/>
        </w:rPr>
        <w:t>贯彻落实党的二十大和二十届三中全会精神、中央和省委省政府关于更多依靠发展来巩固拓展脱贫攻坚成果的要求，督促相关部门加强项目谋划等前期工作，突出衔接资金支持重点，优先支持联农带农富农产业发展，202</w:t>
      </w:r>
      <w:r>
        <w:rPr>
          <w:rFonts w:hint="default" w:ascii="Times New Roman" w:hAnsi="Times New Roman" w:eastAsia="方正仿宋_GBK" w:cs="Times New Roman"/>
          <w:color w:val="auto"/>
          <w:spacing w:val="0"/>
          <w:sz w:val="32"/>
          <w:szCs w:val="32"/>
          <w:lang w:val="en-US" w:eastAsia="zh-CN"/>
        </w:rPr>
        <w:t>5</w:t>
      </w:r>
      <w:r>
        <w:rPr>
          <w:rFonts w:hint="default" w:ascii="Times New Roman" w:hAnsi="Times New Roman" w:eastAsia="方正仿宋_GBK" w:cs="Times New Roman"/>
          <w:color w:val="auto"/>
          <w:spacing w:val="0"/>
          <w:sz w:val="32"/>
          <w:szCs w:val="32"/>
          <w:lang w:eastAsia="zh-CN"/>
        </w:rPr>
        <w:t>年用于乡村产业发展的中央衔接资金占比原则上不得低于下达你地区资金总规模的</w:t>
      </w:r>
      <w:r>
        <w:rPr>
          <w:rFonts w:hint="default" w:ascii="Times New Roman" w:hAnsi="Times New Roman" w:eastAsia="方正仿宋_GBK" w:cs="Times New Roman"/>
          <w:color w:val="auto"/>
          <w:spacing w:val="0"/>
          <w:sz w:val="32"/>
          <w:szCs w:val="32"/>
          <w:lang w:val="en-US" w:eastAsia="zh-CN"/>
        </w:rPr>
        <w:t>60%</w:t>
      </w:r>
      <w:r>
        <w:rPr>
          <w:rFonts w:hint="default" w:ascii="Times New Roman" w:hAnsi="Times New Roman" w:eastAsia="方正仿宋_GBK" w:cs="Times New Roman"/>
          <w:color w:val="auto"/>
          <w:spacing w:val="0"/>
          <w:sz w:val="32"/>
          <w:szCs w:val="32"/>
          <w:lang w:eastAsia="zh-CN"/>
        </w:rPr>
        <w:t>，进一步巩固拓展脱贫攻坚成果，增强脱贫地区和脱贫群众内生发展动力。认真贯彻落实习近平总书记关于农村饮水安全保障的重要指示精神，将巩固提升农村饮水安全保障水平作为支持重点，确保完成巩固拓展脱贫攻坚成果底线任务。</w:t>
      </w:r>
    </w:p>
    <w:p w14:paraId="5D1A5664">
      <w:pPr>
        <w:keepNext w:val="0"/>
        <w:keepLines w:val="0"/>
        <w:pageBreakBefore w:val="0"/>
        <w:widowControl w:val="0"/>
        <w:pBdr>
          <w:top w:val="none" w:color="auto" w:sz="0" w:space="0"/>
          <w:bottom w:val="none" w:color="auto" w:sz="0" w:space="0"/>
        </w:pBdr>
        <w:tabs>
          <w:tab w:val="left" w:pos="7560"/>
          <w:tab w:val="left" w:pos="7770"/>
          <w:tab w:val="left" w:pos="7980"/>
        </w:tabs>
        <w:kinsoku/>
        <w:wordWrap/>
        <w:overflowPunct w:val="0"/>
        <w:topLinePunct w:val="0"/>
        <w:autoSpaceDE/>
        <w:autoSpaceDN/>
        <w:bidi w:val="0"/>
        <w:adjustRightInd/>
        <w:snapToGrid/>
        <w:spacing w:after="0" w:line="560" w:lineRule="exact"/>
        <w:ind w:firstLine="648" w:firstLineChars="200"/>
        <w:textAlignment w:val="auto"/>
        <w:rPr>
          <w:rFonts w:hint="default" w:ascii="Times New Roman" w:hAnsi="Times New Roman" w:eastAsia="方正仿宋_GBK" w:cs="Times New Roman"/>
          <w:color w:val="auto"/>
          <w:spacing w:val="0"/>
          <w:sz w:val="32"/>
          <w:szCs w:val="32"/>
          <w:lang w:eastAsia="zh-CN"/>
        </w:rPr>
      </w:pPr>
      <w:r>
        <w:rPr>
          <w:rFonts w:hint="eastAsia" w:ascii="方正黑体_GBK" w:hAnsi="方正黑体_GBK" w:eastAsia="方正黑体_GBK" w:cs="方正黑体_GBK"/>
          <w:spacing w:val="0"/>
          <w:sz w:val="32"/>
          <w:szCs w:val="32"/>
          <w:lang w:eastAsia="zh-CN"/>
        </w:rPr>
        <w:t>三、</w:t>
      </w:r>
      <w:r>
        <w:rPr>
          <w:rFonts w:hint="eastAsia" w:ascii="方正黑体_GBK" w:hAnsi="方正黑体_GBK" w:eastAsia="方正黑体_GBK" w:cs="方正黑体_GBK"/>
          <w:color w:val="auto"/>
          <w:spacing w:val="0"/>
          <w:sz w:val="32"/>
          <w:szCs w:val="32"/>
          <w:highlight w:val="none"/>
          <w:lang w:val="en-US" w:eastAsia="zh-CN" w:bidi="ar-SA"/>
        </w:rPr>
        <w:t>认真落实预算执行常态化监督有关要求。</w:t>
      </w:r>
      <w:r>
        <w:rPr>
          <w:rFonts w:hint="default" w:ascii="Times New Roman" w:hAnsi="Times New Roman" w:eastAsia="方正仿宋_GBK" w:cs="Times New Roman"/>
          <w:color w:val="auto"/>
          <w:spacing w:val="0"/>
          <w:sz w:val="32"/>
          <w:szCs w:val="32"/>
          <w:highlight w:val="none"/>
          <w:lang w:val="en-US" w:eastAsia="zh-CN" w:bidi="ar-SA"/>
        </w:rPr>
        <w:t>此</w:t>
      </w:r>
      <w:r>
        <w:rPr>
          <w:rFonts w:hint="eastAsia" w:ascii="方正仿宋_GBK" w:hAnsi="方正仿宋_GBK" w:eastAsia="方正仿宋_GBK" w:cs="方正仿宋_GBK"/>
          <w:color w:val="auto"/>
          <w:spacing w:val="0"/>
          <w:sz w:val="32"/>
          <w:szCs w:val="32"/>
          <w:highlight w:val="none"/>
          <w:lang w:val="en-US" w:eastAsia="zh-CN" w:bidi="ar-SA"/>
        </w:rPr>
        <w:t>次下达的中央财政衔接资金列入转移支付预算执行常态化监督范围，财政部门要在预算管理一体化系统及时接收登录预算指标，并保持“追踪”标识不变，</w:t>
      </w:r>
      <w:r>
        <w:rPr>
          <w:rFonts w:hint="eastAsia" w:ascii="方正仿宋_GBK" w:hAnsi="方正仿宋_GBK" w:eastAsia="方正仿宋_GBK" w:cs="方正仿宋_GBK"/>
          <w:color w:val="auto"/>
          <w:spacing w:val="0"/>
          <w:sz w:val="32"/>
          <w:szCs w:val="32"/>
        </w:rPr>
        <w:t>将资金分解落实到单位和具体项目时,对资金来源既包含中央财政衔接资金又包含地方对应安排资金的,应在预算指标文件、预算管理一体化系统中按资金明细来源分别列示和登录预算指标。</w:t>
      </w:r>
      <w:r>
        <w:rPr>
          <w:rFonts w:hint="eastAsia" w:ascii="方正仿宋_GBK" w:hAnsi="方正仿宋_GBK" w:eastAsia="方正仿宋_GBK" w:cs="方正仿宋_GBK"/>
          <w:color w:val="auto"/>
          <w:spacing w:val="0"/>
          <w:sz w:val="32"/>
          <w:szCs w:val="32"/>
          <w:lang w:eastAsia="zh-CN"/>
        </w:rPr>
        <w:t>应</w:t>
      </w:r>
      <w:r>
        <w:rPr>
          <w:rFonts w:hint="eastAsia" w:ascii="方正仿宋_GBK" w:hAnsi="方正仿宋_GBK" w:eastAsia="方正仿宋_GBK" w:cs="方正仿宋_GBK"/>
          <w:color w:val="auto"/>
          <w:spacing w:val="0"/>
          <w:sz w:val="32"/>
          <w:szCs w:val="32"/>
          <w:highlight w:val="none"/>
          <w:lang w:val="en-US" w:eastAsia="zh-CN" w:bidi="ar-SA"/>
        </w:rPr>
        <w:t>在</w:t>
      </w:r>
      <w:r>
        <w:rPr>
          <w:rFonts w:hint="eastAsia" w:ascii="方正仿宋_GBK" w:hAnsi="方正仿宋_GBK" w:eastAsia="方正仿宋_GBK" w:cs="方正仿宋_GBK"/>
          <w:color w:val="auto"/>
          <w:spacing w:val="0"/>
          <w:sz w:val="32"/>
          <w:szCs w:val="32"/>
        </w:rPr>
        <w:t>收到上级资金</w:t>
      </w:r>
      <w:r>
        <w:rPr>
          <w:rFonts w:hint="eastAsia" w:ascii="方正仿宋_GBK" w:hAnsi="方正仿宋_GBK" w:eastAsia="方正仿宋_GBK" w:cs="方正仿宋_GBK"/>
          <w:color w:val="auto"/>
          <w:spacing w:val="0"/>
          <w:sz w:val="32"/>
          <w:szCs w:val="32"/>
          <w:lang w:eastAsia="zh-CN"/>
        </w:rPr>
        <w:t>后</w:t>
      </w:r>
      <w:r>
        <w:rPr>
          <w:rFonts w:hint="eastAsia" w:ascii="方正仿宋_GBK" w:hAnsi="方正仿宋_GBK" w:eastAsia="方正仿宋_GBK" w:cs="方正仿宋_GBK"/>
          <w:color w:val="auto"/>
          <w:spacing w:val="0"/>
          <w:sz w:val="32"/>
          <w:szCs w:val="32"/>
        </w:rPr>
        <w:t>30日内将资金分解下达到具体单位和项目。财政部门要依托预算管理一体化系统</w:t>
      </w:r>
      <w:r>
        <w:rPr>
          <w:rFonts w:hint="eastAsia" w:ascii="方正仿宋_GBK" w:hAnsi="方正仿宋_GBK" w:eastAsia="方正仿宋_GBK" w:cs="方正仿宋_GBK"/>
          <w:color w:val="auto"/>
          <w:spacing w:val="0"/>
          <w:sz w:val="32"/>
          <w:szCs w:val="32"/>
          <w:lang w:eastAsia="zh-CN"/>
        </w:rPr>
        <w:t>转移支付监控模块，加强日常</w:t>
      </w:r>
      <w:r>
        <w:rPr>
          <w:rFonts w:hint="default" w:ascii="Times New Roman" w:hAnsi="Times New Roman" w:eastAsia="方正仿宋_GBK" w:cs="Times New Roman"/>
          <w:color w:val="auto"/>
          <w:spacing w:val="0"/>
          <w:sz w:val="32"/>
          <w:szCs w:val="32"/>
          <w:lang w:eastAsia="zh-CN"/>
        </w:rPr>
        <w:t>监管，提高转移支付资金管理使用规范性和有效性。</w:t>
      </w:r>
    </w:p>
    <w:p w14:paraId="10580CEC">
      <w:pPr>
        <w:keepNext w:val="0"/>
        <w:keepLines w:val="0"/>
        <w:pageBreakBefore w:val="0"/>
        <w:widowControl w:val="0"/>
        <w:pBdr>
          <w:top w:val="none" w:color="auto" w:sz="0" w:space="0"/>
          <w:bottom w:val="none" w:color="auto" w:sz="0" w:space="0"/>
        </w:pBdr>
        <w:tabs>
          <w:tab w:val="left" w:pos="7560"/>
          <w:tab w:val="left" w:pos="7770"/>
          <w:tab w:val="left" w:pos="7980"/>
        </w:tabs>
        <w:kinsoku/>
        <w:wordWrap/>
        <w:overflowPunct w:val="0"/>
        <w:topLinePunct w:val="0"/>
        <w:autoSpaceDE/>
        <w:autoSpaceDN/>
        <w:bidi w:val="0"/>
        <w:adjustRightInd/>
        <w:snapToGrid/>
        <w:spacing w:after="0" w:line="560" w:lineRule="exact"/>
        <w:ind w:firstLine="648" w:firstLineChars="200"/>
        <w:textAlignment w:val="auto"/>
        <w:rPr>
          <w:rFonts w:hint="default" w:ascii="Times New Roman" w:hAnsi="Times New Roman" w:eastAsia="方正仿宋_GBK" w:cs="Times New Roman"/>
          <w:color w:val="auto"/>
          <w:spacing w:val="0"/>
          <w:sz w:val="32"/>
          <w:szCs w:val="32"/>
          <w:lang w:val="en-US" w:eastAsia="zh-CN"/>
        </w:rPr>
      </w:pPr>
      <w:r>
        <w:rPr>
          <w:rFonts w:hint="eastAsia" w:ascii="方正黑体_GBK" w:hAnsi="方正黑体_GBK" w:eastAsia="方正黑体_GBK" w:cs="方正黑体_GBK"/>
          <w:color w:val="auto"/>
          <w:spacing w:val="0"/>
          <w:sz w:val="32"/>
          <w:szCs w:val="32"/>
          <w:highlight w:val="none"/>
          <w:lang w:val="en-US" w:eastAsia="zh-CN" w:bidi="ar-SA"/>
        </w:rPr>
        <w:t>四、强化绩效管理结果运用。</w:t>
      </w:r>
      <w:r>
        <w:rPr>
          <w:rFonts w:hint="default" w:ascii="Times New Roman" w:hAnsi="Times New Roman" w:eastAsia="方正仿宋_GBK" w:cs="Times New Roman"/>
          <w:color w:val="auto"/>
          <w:spacing w:val="0"/>
          <w:sz w:val="32"/>
          <w:szCs w:val="32"/>
          <w:highlight w:val="none"/>
          <w:lang w:val="en-US" w:eastAsia="zh-CN" w:bidi="ar-SA"/>
        </w:rPr>
        <w:t>本次资金安排充分考虑了绩效管理结果运用，将衔接资金国家、省级绩效评价和国家后评估</w:t>
      </w:r>
      <w:r>
        <w:rPr>
          <w:rFonts w:hint="default" w:ascii="Times New Roman" w:hAnsi="Times New Roman" w:eastAsia="方正仿宋_GBK" w:cs="Times New Roman"/>
          <w:color w:val="auto"/>
          <w:spacing w:val="0"/>
          <w:sz w:val="32"/>
          <w:szCs w:val="32"/>
          <w:lang w:val="en-US" w:eastAsia="zh-CN" w:bidi="ar-SA"/>
        </w:rPr>
        <w:t>结果，以及一季度衔接资金支出进度作为重要分配因素，实施激励奖惩。各地要以此为契机，保持衔接资金监管高压态势，把加强和规范衔接资金管理使用作为突出重点，不断强化资金项目管理政策学习领会运用，着力规范项目资金使用管理，全力支持打好过渡期收官战。</w:t>
      </w:r>
    </w:p>
    <w:p w14:paraId="5CD305D8">
      <w:pPr>
        <w:keepNext w:val="0"/>
        <w:keepLines w:val="0"/>
        <w:pageBreakBefore w:val="0"/>
        <w:widowControl w:val="0"/>
        <w:pBdr>
          <w:top w:val="none" w:color="auto" w:sz="0" w:space="0"/>
          <w:bottom w:val="none" w:color="auto" w:sz="0" w:space="0"/>
        </w:pBdr>
        <w:tabs>
          <w:tab w:val="left" w:pos="7560"/>
        </w:tabs>
        <w:kinsoku/>
        <w:wordWrap/>
        <w:overflowPunct/>
        <w:topLinePunct w:val="0"/>
        <w:autoSpaceDE/>
        <w:autoSpaceDN/>
        <w:bidi w:val="0"/>
        <w:adjustRightInd/>
        <w:snapToGrid/>
        <w:spacing w:after="0" w:line="590" w:lineRule="exact"/>
        <w:textAlignment w:val="auto"/>
        <w:rPr>
          <w:rFonts w:hint="default" w:ascii="Times New Roman" w:hAnsi="Times New Roman" w:eastAsia="方正仿宋_GBK" w:cs="Times New Roman"/>
          <w:spacing w:val="0"/>
          <w:sz w:val="32"/>
          <w:szCs w:val="32"/>
          <w:lang w:val="en-US" w:eastAsia="zh-CN" w:bidi="ar-SA"/>
        </w:rPr>
      </w:pPr>
    </w:p>
    <w:p w14:paraId="702169FD">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left="2130" w:leftChars="304" w:hanging="1480" w:hangingChars="457"/>
        <w:textAlignment w:val="auto"/>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spacing w:val="0"/>
          <w:sz w:val="32"/>
          <w:szCs w:val="32"/>
        </w:rPr>
        <w:t>附件：</w:t>
      </w:r>
      <w:r>
        <w:rPr>
          <w:rFonts w:hint="default" w:ascii="Times New Roman" w:hAnsi="Times New Roman" w:eastAsia="方正仿宋_GBK" w:cs="Times New Roman"/>
          <w:spacing w:val="0"/>
          <w:sz w:val="32"/>
          <w:szCs w:val="32"/>
          <w:lang w:val="en-US" w:eastAsia="zh-CN"/>
        </w:rPr>
        <w:t>1</w:t>
      </w:r>
      <w:r>
        <w:rPr>
          <w:rFonts w:hint="eastAsia" w:ascii="Times New Roman" w:hAnsi="Times New Roman" w:eastAsia="方正仿宋_GBK" w:cs="Times New Roman"/>
          <w:spacing w:val="0"/>
          <w:sz w:val="32"/>
          <w:szCs w:val="32"/>
          <w:lang w:val="en-US" w:eastAsia="zh-CN"/>
        </w:rPr>
        <w:t>．</w:t>
      </w:r>
      <w:r>
        <w:rPr>
          <w:rFonts w:hint="default" w:ascii="Times New Roman" w:hAnsi="Times New Roman" w:eastAsia="方正仿宋_GBK" w:cs="Times New Roman"/>
          <w:spacing w:val="0"/>
          <w:sz w:val="32"/>
          <w:szCs w:val="32"/>
        </w:rPr>
        <w:t>202</w:t>
      </w:r>
      <w:r>
        <w:rPr>
          <w:rFonts w:hint="default" w:ascii="Times New Roman" w:hAnsi="Times New Roman" w:eastAsia="方正仿宋_GBK" w:cs="Times New Roman"/>
          <w:spacing w:val="0"/>
          <w:sz w:val="32"/>
          <w:szCs w:val="32"/>
          <w:lang w:val="en-US" w:eastAsia="zh-CN"/>
        </w:rPr>
        <w:t>5</w:t>
      </w:r>
      <w:r>
        <w:rPr>
          <w:rFonts w:hint="default" w:ascii="Times New Roman" w:hAnsi="Times New Roman" w:eastAsia="方正仿宋_GBK" w:cs="Times New Roman"/>
          <w:spacing w:val="0"/>
          <w:sz w:val="32"/>
          <w:szCs w:val="32"/>
        </w:rPr>
        <w:t>年第二批中央财政衔接推进乡村振兴补助资金下达表</w:t>
      </w:r>
    </w:p>
    <w:p w14:paraId="2073DFAC">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left="2189" w:leftChars="781" w:hanging="518" w:hangingChars="160"/>
        <w:textAlignment w:val="auto"/>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spacing w:val="0"/>
          <w:sz w:val="32"/>
          <w:szCs w:val="32"/>
        </w:rPr>
        <w:t>2</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lang w:val="en-US" w:eastAsia="zh-CN"/>
        </w:rPr>
        <w:t>2025年中央财政衔接推进乡村振兴补助资金绩效目标表（市对下）</w:t>
      </w:r>
    </w:p>
    <w:p w14:paraId="2CC907D2">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firstLine="2032" w:firstLineChars="605"/>
        <w:textAlignment w:val="auto"/>
        <w:rPr>
          <w:rFonts w:hint="default" w:ascii="Times New Roman" w:hAnsi="Times New Roman" w:eastAsia="方正仿宋_GBK" w:cs="Times New Roman"/>
          <w:spacing w:val="6"/>
          <w:sz w:val="32"/>
          <w:szCs w:val="32"/>
        </w:rPr>
      </w:pPr>
    </w:p>
    <w:p w14:paraId="1FD09D46">
      <w:pPr>
        <w:pStyle w:val="2"/>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left="0" w:leftChars="0" w:right="856" w:rightChars="400" w:firstLine="0" w:firstLineChars="0"/>
        <w:textAlignment w:val="auto"/>
        <w:rPr>
          <w:rFonts w:hint="default" w:ascii="Times New Roman" w:hAnsi="Times New Roman" w:eastAsia="方正仿宋_GBK" w:cs="Times New Roman"/>
          <w:spacing w:val="6"/>
          <w:sz w:val="32"/>
          <w:szCs w:val="32"/>
        </w:rPr>
      </w:pPr>
      <w:bookmarkStart w:id="1" w:name="正文结束"/>
      <w:bookmarkEnd w:id="1"/>
    </w:p>
    <w:p w14:paraId="02AF3C46">
      <w:pPr>
        <w:pStyle w:val="2"/>
        <w:keepNext w:val="0"/>
        <w:keepLines w:val="0"/>
        <w:pageBreakBefore w:val="0"/>
        <w:widowControl w:val="0"/>
        <w:pBdr>
          <w:top w:val="none" w:color="auto" w:sz="0" w:space="0"/>
          <w:bottom w:val="none" w:color="auto" w:sz="0" w:space="0"/>
        </w:pBdr>
        <w:tabs>
          <w:tab w:val="left" w:pos="7560"/>
        </w:tabs>
        <w:kinsoku/>
        <w:wordWrap/>
        <w:overflowPunct/>
        <w:topLinePunct w:val="0"/>
        <w:autoSpaceDE/>
        <w:autoSpaceDN/>
        <w:bidi w:val="0"/>
        <w:adjustRightInd/>
        <w:snapToGrid/>
        <w:spacing w:after="0" w:line="590" w:lineRule="exact"/>
        <w:ind w:left="0" w:leftChars="0" w:right="856" w:rightChars="400" w:firstLine="0" w:firstLineChars="0"/>
        <w:textAlignment w:val="auto"/>
        <w:rPr>
          <w:rFonts w:hint="default" w:ascii="Times New Roman" w:hAnsi="Times New Roman" w:eastAsia="方正仿宋_GBK" w:cs="Times New Roman"/>
          <w:spacing w:val="6"/>
          <w:sz w:val="32"/>
          <w:szCs w:val="32"/>
        </w:rPr>
      </w:pPr>
    </w:p>
    <w:p w14:paraId="22651ADB">
      <w:pPr>
        <w:pStyle w:val="2"/>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left="0" w:leftChars="0" w:right="856" w:rightChars="400" w:firstLine="0" w:firstLineChars="0"/>
        <w:textAlignment w:val="auto"/>
        <w:rPr>
          <w:rFonts w:hint="default" w:ascii="Times New Roman" w:hAnsi="Times New Roman" w:eastAsia="方正仿宋_GBK" w:cs="Times New Roman"/>
          <w:spacing w:val="6"/>
          <w:sz w:val="32"/>
          <w:szCs w:val="32"/>
        </w:rPr>
      </w:pPr>
    </w:p>
    <w:p w14:paraId="5A2F2792">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right="1371" w:rightChars="641"/>
        <w:jc w:val="right"/>
        <w:textAlignment w:val="auto"/>
        <w:rPr>
          <w:rFonts w:hint="default" w:ascii="Times New Roman" w:hAnsi="Times New Roman" w:eastAsia="方正仿宋_GBK" w:cs="Times New Roman"/>
          <w:spacing w:val="6"/>
          <w:sz w:val="32"/>
          <w:szCs w:val="32"/>
          <w:lang w:val="en-US" w:eastAsia="zh-CN"/>
        </w:rPr>
      </w:pPr>
      <w:bookmarkStart w:id="2" w:name="GWDocEnd"/>
      <w:bookmarkEnd w:id="2"/>
      <w:r>
        <w:rPr>
          <w:rFonts w:hint="default" w:ascii="Times New Roman" w:hAnsi="Times New Roman" w:eastAsia="方正仿宋_GBK" w:cs="Times New Roman"/>
          <w:spacing w:val="6"/>
          <w:sz w:val="32"/>
          <w:szCs w:val="32"/>
          <w:lang w:eastAsia="zh-CN"/>
        </w:rPr>
        <w:t>202</w:t>
      </w:r>
      <w:r>
        <w:rPr>
          <w:rFonts w:hint="default" w:ascii="Times New Roman" w:hAnsi="Times New Roman" w:eastAsia="方正仿宋_GBK" w:cs="Times New Roman"/>
          <w:spacing w:val="6"/>
          <w:sz w:val="32"/>
          <w:szCs w:val="32"/>
          <w:lang w:val="en-US" w:eastAsia="zh-CN"/>
        </w:rPr>
        <w:t>5</w:t>
      </w:r>
      <w:r>
        <w:rPr>
          <w:rFonts w:hint="default" w:ascii="Times New Roman" w:hAnsi="Times New Roman" w:eastAsia="方正仿宋_GBK" w:cs="Times New Roman"/>
          <w:spacing w:val="6"/>
          <w:sz w:val="32"/>
          <w:szCs w:val="32"/>
          <w:lang w:eastAsia="zh-CN"/>
        </w:rPr>
        <w:t>年</w:t>
      </w:r>
      <w:r>
        <w:rPr>
          <w:rFonts w:hint="default" w:ascii="Times New Roman" w:hAnsi="Times New Roman" w:eastAsia="方正仿宋_GBK" w:cs="Times New Roman"/>
          <w:spacing w:val="6"/>
          <w:sz w:val="32"/>
          <w:szCs w:val="32"/>
          <w:lang w:val="en-US" w:eastAsia="zh-CN"/>
        </w:rPr>
        <w:t>6</w:t>
      </w:r>
      <w:r>
        <w:rPr>
          <w:rFonts w:hint="default" w:ascii="Times New Roman" w:hAnsi="Times New Roman" w:eastAsia="方正仿宋_GBK" w:cs="Times New Roman"/>
          <w:spacing w:val="6"/>
          <w:sz w:val="32"/>
          <w:szCs w:val="32"/>
          <w:lang w:eastAsia="zh-CN"/>
        </w:rPr>
        <w:t>月</w:t>
      </w:r>
      <w:r>
        <w:rPr>
          <w:rFonts w:hint="eastAsia" w:ascii="Times New Roman" w:hAnsi="Times New Roman" w:eastAsia="方正仿宋_GBK" w:cs="Times New Roman"/>
          <w:spacing w:val="6"/>
          <w:sz w:val="32"/>
          <w:szCs w:val="32"/>
          <w:lang w:val="en-US" w:eastAsia="zh-CN"/>
        </w:rPr>
        <w:t>8</w:t>
      </w:r>
      <w:r>
        <w:rPr>
          <w:rFonts w:hint="default" w:ascii="Times New Roman" w:hAnsi="Times New Roman" w:eastAsia="方正仿宋_GBK" w:cs="Times New Roman"/>
          <w:spacing w:val="6"/>
          <w:sz w:val="32"/>
          <w:szCs w:val="32"/>
          <w:lang w:eastAsia="zh-CN"/>
        </w:rPr>
        <w:t>日</w:t>
      </w:r>
    </w:p>
    <w:p w14:paraId="77D48356">
      <w:pPr>
        <w:pStyle w:val="2"/>
      </w:pPr>
    </w:p>
    <w:p w14:paraId="61E9DD61"/>
    <w:p w14:paraId="4B225360">
      <w:pPr>
        <w:pStyle w:val="2"/>
      </w:pPr>
    </w:p>
    <w:p w14:paraId="4F0FFF8E"/>
    <w:p w14:paraId="3308931C"/>
    <w:p w14:paraId="6786702B">
      <w:pPr>
        <w:pStyle w:val="2"/>
      </w:pPr>
    </w:p>
    <w:p w14:paraId="1DD03F6A"/>
    <w:p w14:paraId="2E948047">
      <w:pPr>
        <w:pStyle w:val="2"/>
      </w:pPr>
    </w:p>
    <w:p w14:paraId="0B811EB2"/>
    <w:p w14:paraId="1D4435DB">
      <w:pPr>
        <w:pStyle w:val="2"/>
      </w:pPr>
    </w:p>
    <w:p w14:paraId="6A37AA08"/>
    <w:p w14:paraId="68901F73">
      <w:pPr>
        <w:pStyle w:val="2"/>
      </w:pPr>
    </w:p>
    <w:p w14:paraId="29ED80C3"/>
    <w:p w14:paraId="1A8B99FE">
      <w:pPr>
        <w:pStyle w:val="2"/>
      </w:pPr>
    </w:p>
    <w:p w14:paraId="39955E25"/>
    <w:p w14:paraId="1A950D73">
      <w:pPr>
        <w:pStyle w:val="2"/>
      </w:pPr>
    </w:p>
    <w:p w14:paraId="4295B17C"/>
    <w:p w14:paraId="64AB484F">
      <w:pPr>
        <w:pStyle w:val="2"/>
      </w:pPr>
    </w:p>
    <w:p w14:paraId="6CE854F8">
      <w:pPr>
        <w:sectPr>
          <w:footerReference r:id="rId3" w:type="default"/>
          <w:footerReference r:id="rId4" w:type="even"/>
          <w:pgSz w:w="11906" w:h="16838"/>
          <w:pgMar w:top="2041" w:right="1474" w:bottom="1304" w:left="1587" w:header="1361" w:footer="1191" w:gutter="0"/>
          <w:pgNumType w:fmt="decimal"/>
          <w:cols w:space="0" w:num="1"/>
          <w:rtlGutter w:val="0"/>
          <w:docGrid w:type="linesAndChars" w:linePitch="315" w:charSpace="950"/>
        </w:sectPr>
      </w:pPr>
    </w:p>
    <w:p w14:paraId="453EA558">
      <w:pPr>
        <w:pStyle w:val="2"/>
        <w:ind w:left="0" w:leftChars="0" w:firstLine="0" w:firstLineChars="0"/>
        <w:rPr>
          <w:rFonts w:hint="default" w:ascii="Times New Roman" w:hAnsi="Times New Roman" w:eastAsia="方正黑体_GBK" w:cs="Times New Roman"/>
          <w:lang w:val="en-US" w:eastAsia="zh-CN"/>
        </w:rPr>
      </w:pPr>
      <w:r>
        <w:rPr>
          <w:rFonts w:hint="default" w:ascii="Times New Roman" w:hAnsi="Times New Roman" w:eastAsia="方正黑体_GBK" w:cs="Times New Roman"/>
          <w:lang w:eastAsia="zh-CN"/>
        </w:rPr>
        <w:t>附件</w:t>
      </w:r>
      <w:r>
        <w:rPr>
          <w:rFonts w:hint="default" w:ascii="Times New Roman" w:hAnsi="Times New Roman" w:eastAsia="方正黑体_GBK" w:cs="Times New Roman"/>
          <w:lang w:val="en-US" w:eastAsia="zh-CN"/>
        </w:rPr>
        <w:t>1</w:t>
      </w:r>
    </w:p>
    <w:tbl>
      <w:tblPr>
        <w:tblStyle w:val="5"/>
        <w:tblW w:w="139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0"/>
        <w:gridCol w:w="1583"/>
        <w:gridCol w:w="1233"/>
        <w:gridCol w:w="941"/>
        <w:gridCol w:w="1171"/>
        <w:gridCol w:w="1381"/>
        <w:gridCol w:w="1907"/>
        <w:gridCol w:w="886"/>
        <w:gridCol w:w="856"/>
        <w:gridCol w:w="1216"/>
        <w:gridCol w:w="1250"/>
        <w:gridCol w:w="736"/>
      </w:tblGrid>
      <w:tr w14:paraId="6BCE7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3900" w:type="dxa"/>
            <w:gridSpan w:val="12"/>
            <w:tcBorders>
              <w:top w:val="nil"/>
              <w:left w:val="nil"/>
              <w:bottom w:val="nil"/>
              <w:right w:val="nil"/>
            </w:tcBorders>
            <w:shd w:val="clear" w:color="auto" w:fill="auto"/>
            <w:noWrap/>
            <w:vAlign w:val="center"/>
          </w:tcPr>
          <w:p w14:paraId="3AA4DAF9">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default" w:ascii="Times New Roman" w:hAnsi="Times New Roman" w:eastAsia="方正小标宋_GBK" w:cs="Times New Roman"/>
                <w:b w:val="0"/>
                <w:bCs w:val="0"/>
                <w:i w:val="0"/>
                <w:iCs w:val="0"/>
                <w:color w:val="000000"/>
                <w:kern w:val="0"/>
                <w:sz w:val="32"/>
                <w:szCs w:val="32"/>
                <w:u w:val="none"/>
                <w:lang w:val="en-US" w:eastAsia="zh-CN" w:bidi="ar"/>
              </w:rPr>
              <w:t>2025年第二批中央财政衔接推进乡村振兴补助资金下达表</w:t>
            </w:r>
          </w:p>
        </w:tc>
      </w:tr>
      <w:tr w14:paraId="75CE5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jc w:val="center"/>
        </w:trPr>
        <w:tc>
          <w:tcPr>
            <w:tcW w:w="740" w:type="dxa"/>
            <w:tcBorders>
              <w:top w:val="nil"/>
              <w:left w:val="nil"/>
              <w:bottom w:val="single" w:color="auto" w:sz="4" w:space="0"/>
              <w:right w:val="nil"/>
            </w:tcBorders>
            <w:shd w:val="clear" w:color="auto" w:fill="auto"/>
            <w:noWrap/>
            <w:vAlign w:val="center"/>
          </w:tcPr>
          <w:p w14:paraId="06F64127">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583" w:type="dxa"/>
            <w:tcBorders>
              <w:top w:val="nil"/>
              <w:left w:val="nil"/>
              <w:bottom w:val="single" w:color="auto" w:sz="4" w:space="0"/>
              <w:right w:val="nil"/>
            </w:tcBorders>
            <w:shd w:val="clear" w:color="auto" w:fill="auto"/>
            <w:vAlign w:val="center"/>
          </w:tcPr>
          <w:p w14:paraId="59F03B10">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233" w:type="dxa"/>
            <w:tcBorders>
              <w:top w:val="nil"/>
              <w:left w:val="nil"/>
              <w:bottom w:val="single" w:color="auto" w:sz="4" w:space="0"/>
              <w:right w:val="nil"/>
            </w:tcBorders>
            <w:shd w:val="clear" w:color="auto" w:fill="auto"/>
            <w:noWrap/>
            <w:vAlign w:val="center"/>
          </w:tcPr>
          <w:p w14:paraId="3F2D90BB">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941" w:type="dxa"/>
            <w:tcBorders>
              <w:top w:val="nil"/>
              <w:left w:val="nil"/>
              <w:bottom w:val="single" w:color="auto" w:sz="4" w:space="0"/>
              <w:right w:val="nil"/>
            </w:tcBorders>
            <w:shd w:val="clear" w:color="auto" w:fill="auto"/>
            <w:noWrap/>
            <w:vAlign w:val="center"/>
          </w:tcPr>
          <w:p w14:paraId="3530BA4E">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171" w:type="dxa"/>
            <w:tcBorders>
              <w:top w:val="nil"/>
              <w:left w:val="nil"/>
              <w:bottom w:val="single" w:color="auto" w:sz="4" w:space="0"/>
              <w:right w:val="nil"/>
            </w:tcBorders>
            <w:shd w:val="clear" w:color="auto" w:fill="auto"/>
            <w:noWrap/>
            <w:vAlign w:val="center"/>
          </w:tcPr>
          <w:p w14:paraId="74F6ED97">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381" w:type="dxa"/>
            <w:tcBorders>
              <w:top w:val="nil"/>
              <w:left w:val="nil"/>
              <w:bottom w:val="single" w:color="auto" w:sz="4" w:space="0"/>
              <w:right w:val="nil"/>
            </w:tcBorders>
            <w:shd w:val="clear" w:color="auto" w:fill="auto"/>
            <w:noWrap/>
            <w:vAlign w:val="center"/>
          </w:tcPr>
          <w:p w14:paraId="16E83D88">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907" w:type="dxa"/>
            <w:tcBorders>
              <w:top w:val="nil"/>
              <w:left w:val="nil"/>
              <w:bottom w:val="single" w:color="auto" w:sz="4" w:space="0"/>
              <w:right w:val="nil"/>
            </w:tcBorders>
            <w:shd w:val="clear" w:color="auto" w:fill="auto"/>
            <w:noWrap/>
            <w:vAlign w:val="center"/>
          </w:tcPr>
          <w:p w14:paraId="0D345484">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886" w:type="dxa"/>
            <w:tcBorders>
              <w:top w:val="nil"/>
              <w:left w:val="nil"/>
              <w:bottom w:val="single" w:color="auto" w:sz="4" w:space="0"/>
              <w:right w:val="nil"/>
            </w:tcBorders>
            <w:shd w:val="clear" w:color="auto" w:fill="auto"/>
            <w:noWrap/>
            <w:vAlign w:val="center"/>
          </w:tcPr>
          <w:p w14:paraId="094BDECB">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856" w:type="dxa"/>
            <w:tcBorders>
              <w:top w:val="nil"/>
              <w:left w:val="nil"/>
              <w:bottom w:val="single" w:color="auto" w:sz="4" w:space="0"/>
              <w:right w:val="nil"/>
            </w:tcBorders>
            <w:shd w:val="clear" w:color="auto" w:fill="auto"/>
            <w:noWrap/>
            <w:vAlign w:val="center"/>
          </w:tcPr>
          <w:p w14:paraId="4C66F0A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方正仿宋_GBK" w:cs="Times New Roman"/>
                <w:i w:val="0"/>
                <w:iCs w:val="0"/>
                <w:color w:val="000000"/>
                <w:sz w:val="24"/>
                <w:szCs w:val="24"/>
                <w:u w:val="none"/>
              </w:rPr>
            </w:pPr>
          </w:p>
        </w:tc>
        <w:tc>
          <w:tcPr>
            <w:tcW w:w="1216" w:type="dxa"/>
            <w:tcBorders>
              <w:top w:val="nil"/>
              <w:left w:val="nil"/>
              <w:bottom w:val="single" w:color="auto" w:sz="4" w:space="0"/>
              <w:right w:val="nil"/>
            </w:tcBorders>
            <w:shd w:val="clear" w:color="auto" w:fill="auto"/>
            <w:noWrap/>
            <w:vAlign w:val="center"/>
          </w:tcPr>
          <w:p w14:paraId="27E42F9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方正仿宋_GBK" w:cs="Times New Roman"/>
                <w:i w:val="0"/>
                <w:iCs w:val="0"/>
                <w:color w:val="000000"/>
                <w:sz w:val="24"/>
                <w:szCs w:val="24"/>
                <w:u w:val="none"/>
              </w:rPr>
            </w:pPr>
          </w:p>
        </w:tc>
        <w:tc>
          <w:tcPr>
            <w:tcW w:w="1986" w:type="dxa"/>
            <w:gridSpan w:val="2"/>
            <w:tcBorders>
              <w:top w:val="nil"/>
              <w:left w:val="nil"/>
              <w:bottom w:val="single" w:color="auto" w:sz="4" w:space="0"/>
              <w:right w:val="nil"/>
            </w:tcBorders>
            <w:shd w:val="clear" w:color="auto" w:fill="auto"/>
            <w:noWrap/>
            <w:vAlign w:val="center"/>
          </w:tcPr>
          <w:p w14:paraId="46C71992">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单位：万元</w:t>
            </w:r>
          </w:p>
        </w:tc>
      </w:tr>
      <w:tr w14:paraId="5C26E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jc w:val="center"/>
        </w:trPr>
        <w:tc>
          <w:tcPr>
            <w:tcW w:w="7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056A1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序号</w:t>
            </w:r>
          </w:p>
        </w:tc>
        <w:tc>
          <w:tcPr>
            <w:tcW w:w="158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4B2C3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地区</w:t>
            </w:r>
          </w:p>
        </w:tc>
        <w:tc>
          <w:tcPr>
            <w:tcW w:w="123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9A4BC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原贫困县标识</w:t>
            </w:r>
          </w:p>
        </w:tc>
        <w:tc>
          <w:tcPr>
            <w:tcW w:w="9608"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14:paraId="6EC7DB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本次下达数</w:t>
            </w:r>
          </w:p>
        </w:tc>
        <w:tc>
          <w:tcPr>
            <w:tcW w:w="736" w:type="dxa"/>
            <w:vMerge w:val="restart"/>
            <w:tcBorders>
              <w:top w:val="single" w:color="auto" w:sz="4" w:space="0"/>
              <w:left w:val="single" w:color="auto" w:sz="4" w:space="0"/>
              <w:right w:val="single" w:color="auto" w:sz="4" w:space="0"/>
            </w:tcBorders>
            <w:shd w:val="clear" w:color="auto" w:fill="auto"/>
            <w:vAlign w:val="center"/>
          </w:tcPr>
          <w:p w14:paraId="78B983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备注</w:t>
            </w:r>
          </w:p>
        </w:tc>
      </w:tr>
      <w:tr w14:paraId="2EE1F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jc w:val="center"/>
        </w:trPr>
        <w:tc>
          <w:tcPr>
            <w:tcW w:w="74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493FFCE">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5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E08E083">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3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5703FC5">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9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90E0D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小计</w:t>
            </w:r>
          </w:p>
        </w:tc>
        <w:tc>
          <w:tcPr>
            <w:tcW w:w="445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33385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巩固拓展脱贫攻坚成果和乡村振兴任务</w:t>
            </w:r>
          </w:p>
        </w:tc>
        <w:tc>
          <w:tcPr>
            <w:tcW w:w="88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02036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少数民族发展任务</w:t>
            </w:r>
          </w:p>
        </w:tc>
        <w:tc>
          <w:tcPr>
            <w:tcW w:w="8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D91BC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以工代赈任务</w:t>
            </w:r>
          </w:p>
        </w:tc>
        <w:tc>
          <w:tcPr>
            <w:tcW w:w="12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AF9FE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kern w:val="0"/>
                <w:sz w:val="24"/>
                <w:szCs w:val="24"/>
                <w:u w:val="none"/>
                <w:lang w:val="en-US" w:eastAsia="zh-CN" w:bidi="ar"/>
              </w:rPr>
            </w:pPr>
            <w:r>
              <w:rPr>
                <w:rFonts w:hint="default" w:ascii="Times New Roman" w:hAnsi="Times New Roman" w:eastAsia="方正仿宋_GBK" w:cs="Times New Roman"/>
                <w:b w:val="0"/>
                <w:bCs w:val="0"/>
                <w:i w:val="0"/>
                <w:iCs w:val="0"/>
                <w:color w:val="000000"/>
                <w:kern w:val="0"/>
                <w:sz w:val="24"/>
                <w:szCs w:val="24"/>
                <w:u w:val="none"/>
                <w:lang w:val="en-US" w:eastAsia="zh-CN" w:bidi="ar"/>
              </w:rPr>
              <w:t>欠发达国有农场巩固提升</w:t>
            </w:r>
          </w:p>
          <w:p w14:paraId="506DE0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任务</w:t>
            </w:r>
          </w:p>
        </w:tc>
        <w:tc>
          <w:tcPr>
            <w:tcW w:w="12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9CB55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kern w:val="0"/>
                <w:sz w:val="24"/>
                <w:szCs w:val="24"/>
                <w:u w:val="none"/>
                <w:lang w:val="en-US" w:eastAsia="zh-CN" w:bidi="ar"/>
              </w:rPr>
            </w:pPr>
            <w:r>
              <w:rPr>
                <w:rFonts w:hint="default" w:ascii="Times New Roman" w:hAnsi="Times New Roman" w:eastAsia="方正仿宋_GBK" w:cs="Times New Roman"/>
                <w:b w:val="0"/>
                <w:bCs w:val="0"/>
                <w:i w:val="0"/>
                <w:iCs w:val="0"/>
                <w:color w:val="000000"/>
                <w:kern w:val="0"/>
                <w:sz w:val="24"/>
                <w:szCs w:val="24"/>
                <w:u w:val="none"/>
                <w:lang w:val="en-US" w:eastAsia="zh-CN" w:bidi="ar"/>
              </w:rPr>
              <w:t>欠发达国有林场巩固提升</w:t>
            </w:r>
          </w:p>
          <w:p w14:paraId="0F4131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任务</w:t>
            </w:r>
          </w:p>
        </w:tc>
        <w:tc>
          <w:tcPr>
            <w:tcW w:w="736" w:type="dxa"/>
            <w:vMerge w:val="continue"/>
            <w:tcBorders>
              <w:left w:val="single" w:color="auto" w:sz="4" w:space="0"/>
              <w:right w:val="single" w:color="auto" w:sz="4" w:space="0"/>
            </w:tcBorders>
            <w:shd w:val="clear" w:color="auto" w:fill="auto"/>
            <w:vAlign w:val="center"/>
          </w:tcPr>
          <w:p w14:paraId="0DEF3DD8">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r>
      <w:tr w14:paraId="0A92C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4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362A47F">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5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6CAFA5B">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3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AD1B038">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9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1478A0B">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171" w:type="dxa"/>
            <w:tcBorders>
              <w:top w:val="single" w:color="auto" w:sz="4" w:space="0"/>
              <w:left w:val="single" w:color="auto" w:sz="4" w:space="0"/>
              <w:bottom w:val="single" w:color="auto" w:sz="4" w:space="0"/>
              <w:right w:val="single" w:color="auto" w:sz="4" w:space="0"/>
            </w:tcBorders>
            <w:shd w:val="clear" w:color="auto" w:fill="auto"/>
            <w:vAlign w:val="center"/>
          </w:tcPr>
          <w:p w14:paraId="064034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总金额</w:t>
            </w:r>
          </w:p>
        </w:tc>
        <w:tc>
          <w:tcPr>
            <w:tcW w:w="1381" w:type="dxa"/>
            <w:tcBorders>
              <w:top w:val="single" w:color="auto" w:sz="4" w:space="0"/>
              <w:left w:val="single" w:color="auto" w:sz="4" w:space="0"/>
              <w:bottom w:val="single" w:color="auto" w:sz="4" w:space="0"/>
              <w:right w:val="single" w:color="auto" w:sz="4" w:space="0"/>
            </w:tcBorders>
            <w:shd w:val="clear" w:color="auto" w:fill="auto"/>
            <w:vAlign w:val="center"/>
          </w:tcPr>
          <w:p w14:paraId="04924E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其中：绩效奖励资金</w:t>
            </w:r>
          </w:p>
        </w:tc>
        <w:tc>
          <w:tcPr>
            <w:tcW w:w="1907" w:type="dxa"/>
            <w:tcBorders>
              <w:top w:val="single" w:color="auto" w:sz="4" w:space="0"/>
              <w:left w:val="single" w:color="auto" w:sz="4" w:space="0"/>
              <w:bottom w:val="single" w:color="auto" w:sz="4" w:space="0"/>
              <w:right w:val="single" w:color="auto" w:sz="4" w:space="0"/>
            </w:tcBorders>
            <w:shd w:val="clear" w:color="auto" w:fill="auto"/>
            <w:vAlign w:val="center"/>
          </w:tcPr>
          <w:p w14:paraId="3F260A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易地扶贫搬迁后续产业扶持</w:t>
            </w:r>
          </w:p>
        </w:tc>
        <w:tc>
          <w:tcPr>
            <w:tcW w:w="88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285EA16">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85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681FD8E">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1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08430FC">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70FB206">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736" w:type="dxa"/>
            <w:vMerge w:val="continue"/>
            <w:tcBorders>
              <w:left w:val="single" w:color="auto" w:sz="4" w:space="0"/>
              <w:bottom w:val="single" w:color="auto" w:sz="4" w:space="0"/>
              <w:right w:val="single" w:color="auto" w:sz="4" w:space="0"/>
            </w:tcBorders>
            <w:shd w:val="clear" w:color="auto" w:fill="auto"/>
            <w:vAlign w:val="center"/>
          </w:tcPr>
          <w:p w14:paraId="3C899C45">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r>
      <w:tr w14:paraId="0DFDF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jc w:val="center"/>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99FEF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方正仿宋_GBK" w:cs="Times New Roman"/>
                <w:b w:val="0"/>
                <w:bCs w:val="0"/>
                <w:i w:val="0"/>
                <w:iCs w:val="0"/>
                <w:color w:val="000000"/>
                <w:sz w:val="24"/>
                <w:szCs w:val="24"/>
                <w:u w:val="none"/>
              </w:rPr>
            </w:pP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14:paraId="1519DD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玉溪市合计</w:t>
            </w:r>
          </w:p>
        </w:tc>
        <w:tc>
          <w:tcPr>
            <w:tcW w:w="123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4DF3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1</w:t>
            </w:r>
          </w:p>
        </w:tc>
        <w:tc>
          <w:tcPr>
            <w:tcW w:w="94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1BCC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3441</w:t>
            </w:r>
          </w:p>
        </w:tc>
        <w:tc>
          <w:tcPr>
            <w:tcW w:w="11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7BE4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2936</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3AE3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1710</w:t>
            </w:r>
          </w:p>
        </w:tc>
        <w:tc>
          <w:tcPr>
            <w:tcW w:w="19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4A3A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8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9400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505</w:t>
            </w:r>
          </w:p>
        </w:tc>
        <w:tc>
          <w:tcPr>
            <w:tcW w:w="8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A4C2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12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ECEE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5182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6B1AA6">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r>
      <w:tr w14:paraId="2F7F5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jc w:val="center"/>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4B6B4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方正仿宋_GBK" w:cs="Times New Roman"/>
                <w:b w:val="0"/>
                <w:bCs w:val="0"/>
                <w:i w:val="0"/>
                <w:iCs w:val="0"/>
                <w:color w:val="000000"/>
                <w:sz w:val="24"/>
                <w:szCs w:val="24"/>
                <w:u w:val="none"/>
              </w:rPr>
            </w:pP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14:paraId="415D3D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玉溪市本级</w:t>
            </w:r>
          </w:p>
        </w:tc>
        <w:tc>
          <w:tcPr>
            <w:tcW w:w="123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3ABC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2</w:t>
            </w:r>
          </w:p>
        </w:tc>
        <w:tc>
          <w:tcPr>
            <w:tcW w:w="94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66F3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11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9574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BCE5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19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AD3E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8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7431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3FCD2F">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2F8F16">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31BC75">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421430">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r>
      <w:tr w14:paraId="7514D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jc w:val="center"/>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91354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方正仿宋_GBK" w:cs="Times New Roman"/>
                <w:b w:val="0"/>
                <w:bCs w:val="0"/>
                <w:i w:val="0"/>
                <w:iCs w:val="0"/>
                <w:color w:val="000000"/>
                <w:sz w:val="24"/>
                <w:szCs w:val="24"/>
                <w:u w:val="none"/>
              </w:rPr>
            </w:pP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14:paraId="4C5CE1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县级小计</w:t>
            </w:r>
          </w:p>
        </w:tc>
        <w:tc>
          <w:tcPr>
            <w:tcW w:w="123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8B89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w:t>
            </w:r>
          </w:p>
        </w:tc>
        <w:tc>
          <w:tcPr>
            <w:tcW w:w="94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B6C1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3441</w:t>
            </w:r>
          </w:p>
        </w:tc>
        <w:tc>
          <w:tcPr>
            <w:tcW w:w="11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8D17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2936</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D087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1710</w:t>
            </w:r>
          </w:p>
        </w:tc>
        <w:tc>
          <w:tcPr>
            <w:tcW w:w="19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1B6A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8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E27A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505</w:t>
            </w:r>
          </w:p>
        </w:tc>
        <w:tc>
          <w:tcPr>
            <w:tcW w:w="8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B2BE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12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ECB8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862C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692564">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r>
      <w:tr w14:paraId="5046E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jc w:val="center"/>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7805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33</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14:paraId="5334BF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红塔区</w:t>
            </w:r>
          </w:p>
        </w:tc>
        <w:tc>
          <w:tcPr>
            <w:tcW w:w="123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AC2C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非贫困县</w:t>
            </w:r>
          </w:p>
        </w:tc>
        <w:tc>
          <w:tcPr>
            <w:tcW w:w="94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64E1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685</w:t>
            </w:r>
          </w:p>
        </w:tc>
        <w:tc>
          <w:tcPr>
            <w:tcW w:w="11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C482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280</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F27D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190</w:t>
            </w:r>
          </w:p>
        </w:tc>
        <w:tc>
          <w:tcPr>
            <w:tcW w:w="19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1460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8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69EB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405</w:t>
            </w:r>
          </w:p>
        </w:tc>
        <w:tc>
          <w:tcPr>
            <w:tcW w:w="8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873C77">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45F17C">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300F50">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D33DC5">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r>
      <w:tr w14:paraId="094B1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jc w:val="center"/>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CEF9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34</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14:paraId="408F16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通海县</w:t>
            </w:r>
          </w:p>
        </w:tc>
        <w:tc>
          <w:tcPr>
            <w:tcW w:w="123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0CD3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非贫困县</w:t>
            </w:r>
          </w:p>
        </w:tc>
        <w:tc>
          <w:tcPr>
            <w:tcW w:w="94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7217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265</w:t>
            </w:r>
          </w:p>
        </w:tc>
        <w:tc>
          <w:tcPr>
            <w:tcW w:w="11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BE9F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265</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1683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190</w:t>
            </w:r>
          </w:p>
        </w:tc>
        <w:tc>
          <w:tcPr>
            <w:tcW w:w="19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9A16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8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9624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EC9337">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EE31A2">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9FE7A9">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BCC99B">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r>
      <w:tr w14:paraId="5C80A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jc w:val="center"/>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766F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35</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14:paraId="29D665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江川区</w:t>
            </w:r>
          </w:p>
        </w:tc>
        <w:tc>
          <w:tcPr>
            <w:tcW w:w="123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3A1B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非贫困县</w:t>
            </w:r>
          </w:p>
        </w:tc>
        <w:tc>
          <w:tcPr>
            <w:tcW w:w="94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B481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261</w:t>
            </w:r>
          </w:p>
        </w:tc>
        <w:tc>
          <w:tcPr>
            <w:tcW w:w="11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4D17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261</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F10C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190</w:t>
            </w:r>
          </w:p>
        </w:tc>
        <w:tc>
          <w:tcPr>
            <w:tcW w:w="19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65B9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8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D046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64C43C">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6DCF1F">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7AB0E9">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B48770">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r>
      <w:tr w14:paraId="543D6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jc w:val="center"/>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EC80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36</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14:paraId="7AA772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澄江市</w:t>
            </w:r>
          </w:p>
        </w:tc>
        <w:tc>
          <w:tcPr>
            <w:tcW w:w="123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917B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非贫困县</w:t>
            </w:r>
          </w:p>
        </w:tc>
        <w:tc>
          <w:tcPr>
            <w:tcW w:w="94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06D9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314</w:t>
            </w:r>
          </w:p>
        </w:tc>
        <w:tc>
          <w:tcPr>
            <w:tcW w:w="11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10D5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314</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3485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190</w:t>
            </w:r>
          </w:p>
        </w:tc>
        <w:tc>
          <w:tcPr>
            <w:tcW w:w="19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B9D0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8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4B87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542FE0">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BD3156">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FD21F5">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0BF99F">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r>
      <w:tr w14:paraId="0B3D6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jc w:val="center"/>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99B1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37</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14:paraId="7AEED8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华宁县</w:t>
            </w:r>
          </w:p>
        </w:tc>
        <w:tc>
          <w:tcPr>
            <w:tcW w:w="123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7609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非贫困县</w:t>
            </w:r>
          </w:p>
        </w:tc>
        <w:tc>
          <w:tcPr>
            <w:tcW w:w="94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98D6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341</w:t>
            </w:r>
          </w:p>
        </w:tc>
        <w:tc>
          <w:tcPr>
            <w:tcW w:w="11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A877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341</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A22A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190</w:t>
            </w:r>
          </w:p>
        </w:tc>
        <w:tc>
          <w:tcPr>
            <w:tcW w:w="19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20C6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8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3E43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4DF10C">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00DB24">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33E8E7">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3B1243">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r>
      <w:tr w14:paraId="0F632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jc w:val="center"/>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7E3F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38</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14:paraId="5321F9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易门县</w:t>
            </w:r>
          </w:p>
        </w:tc>
        <w:tc>
          <w:tcPr>
            <w:tcW w:w="123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19E2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非贫困县</w:t>
            </w:r>
          </w:p>
        </w:tc>
        <w:tc>
          <w:tcPr>
            <w:tcW w:w="94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BE03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413</w:t>
            </w:r>
          </w:p>
        </w:tc>
        <w:tc>
          <w:tcPr>
            <w:tcW w:w="11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84FB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313</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8B03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190</w:t>
            </w:r>
          </w:p>
        </w:tc>
        <w:tc>
          <w:tcPr>
            <w:tcW w:w="19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7573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8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F6B8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100</w:t>
            </w:r>
          </w:p>
        </w:tc>
        <w:tc>
          <w:tcPr>
            <w:tcW w:w="8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CA20AB">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FA16DD">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A27A9F">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B511F6">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r>
      <w:tr w14:paraId="604A6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jc w:val="center"/>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BC88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39</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14:paraId="5ACDF9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峨山县</w:t>
            </w:r>
          </w:p>
        </w:tc>
        <w:tc>
          <w:tcPr>
            <w:tcW w:w="123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455E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非贫困县</w:t>
            </w:r>
          </w:p>
        </w:tc>
        <w:tc>
          <w:tcPr>
            <w:tcW w:w="94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63FB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382</w:t>
            </w:r>
          </w:p>
        </w:tc>
        <w:tc>
          <w:tcPr>
            <w:tcW w:w="11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0FFC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382</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5A3D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190</w:t>
            </w:r>
          </w:p>
        </w:tc>
        <w:tc>
          <w:tcPr>
            <w:tcW w:w="19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B107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8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8841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8DF7AA">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05898C">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6653E5">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A2389B">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r>
      <w:tr w14:paraId="2A17B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jc w:val="center"/>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22CC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40</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14:paraId="51BE1E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新平县</w:t>
            </w:r>
          </w:p>
        </w:tc>
        <w:tc>
          <w:tcPr>
            <w:tcW w:w="123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94FD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非贫困县</w:t>
            </w:r>
          </w:p>
        </w:tc>
        <w:tc>
          <w:tcPr>
            <w:tcW w:w="94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CCF0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315</w:t>
            </w:r>
          </w:p>
        </w:tc>
        <w:tc>
          <w:tcPr>
            <w:tcW w:w="11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5498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315</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704D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190</w:t>
            </w:r>
          </w:p>
        </w:tc>
        <w:tc>
          <w:tcPr>
            <w:tcW w:w="19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32E4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8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C30D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252198">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7BD5FB">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F600E3">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643D2A">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r>
      <w:tr w14:paraId="76E9A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DEBA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41</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14:paraId="4E06CB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元江县</w:t>
            </w:r>
          </w:p>
        </w:tc>
        <w:tc>
          <w:tcPr>
            <w:tcW w:w="123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3D4A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非贫困县</w:t>
            </w:r>
          </w:p>
        </w:tc>
        <w:tc>
          <w:tcPr>
            <w:tcW w:w="94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71E5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465</w:t>
            </w:r>
          </w:p>
        </w:tc>
        <w:tc>
          <w:tcPr>
            <w:tcW w:w="11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9706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465</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75ED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190</w:t>
            </w:r>
          </w:p>
        </w:tc>
        <w:tc>
          <w:tcPr>
            <w:tcW w:w="19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CDF7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8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31A9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val="0"/>
                <w:bCs w:val="0"/>
                <w:i w:val="0"/>
                <w:iCs w:val="0"/>
                <w:color w:val="000000"/>
                <w:sz w:val="24"/>
                <w:szCs w:val="24"/>
                <w:u w:val="none"/>
              </w:rPr>
            </w:pPr>
            <w:r>
              <w:rPr>
                <w:rFonts w:hint="default" w:ascii="Times New Roman" w:hAnsi="Times New Roman" w:eastAsia="方正仿宋_GBK" w:cs="Times New Roman"/>
                <w:b w:val="0"/>
                <w:bCs w:val="0"/>
                <w:i w:val="0"/>
                <w:iCs w:val="0"/>
                <w:color w:val="000000"/>
                <w:kern w:val="0"/>
                <w:sz w:val="24"/>
                <w:szCs w:val="24"/>
                <w:u w:val="none"/>
                <w:lang w:val="en-US" w:eastAsia="zh-CN" w:bidi="ar"/>
              </w:rPr>
              <w:t>0</w:t>
            </w:r>
          </w:p>
        </w:tc>
        <w:tc>
          <w:tcPr>
            <w:tcW w:w="8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E2F533">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E1CE3B">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ACA756">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BA5CD6">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val="0"/>
                <w:bCs w:val="0"/>
                <w:i w:val="0"/>
                <w:iCs w:val="0"/>
                <w:color w:val="000000"/>
                <w:sz w:val="24"/>
                <w:szCs w:val="24"/>
                <w:u w:val="none"/>
              </w:rPr>
            </w:pPr>
          </w:p>
        </w:tc>
      </w:tr>
    </w:tbl>
    <w:p w14:paraId="7FA7EE1B"/>
    <w:p w14:paraId="32879980">
      <w:pPr>
        <w:pStyle w:val="2"/>
        <w:sectPr>
          <w:pgSz w:w="16838" w:h="11906" w:orient="landscape"/>
          <w:pgMar w:top="1587" w:right="1474" w:bottom="1304" w:left="1587" w:header="1361" w:footer="1191" w:gutter="0"/>
          <w:pgNumType w:fmt="decimal"/>
          <w:cols w:space="0" w:num="1"/>
          <w:rtlGutter w:val="0"/>
          <w:docGrid w:type="linesAndChars" w:linePitch="315" w:charSpace="950"/>
        </w:sectPr>
      </w:pPr>
    </w:p>
    <w:p w14:paraId="601AE666">
      <w:pPr>
        <w:pStyle w:val="2"/>
        <w:ind w:left="0" w:leftChars="0" w:firstLine="0" w:firstLineChars="0"/>
      </w:pPr>
      <w:r>
        <w:rPr>
          <w:rFonts w:hint="default" w:ascii="Times New Roman" w:hAnsi="Times New Roman" w:eastAsia="方正黑体_GBK" w:cs="Times New Roman"/>
          <w:lang w:eastAsia="zh-CN"/>
        </w:rPr>
        <w:t>附件</w:t>
      </w:r>
      <w:r>
        <w:rPr>
          <w:rFonts w:hint="eastAsia" w:eastAsia="方正黑体_GBK" w:cs="Times New Roman"/>
          <w:lang w:val="en-US" w:eastAsia="zh-CN"/>
        </w:rPr>
        <w:t>2</w:t>
      </w:r>
    </w:p>
    <w:tbl>
      <w:tblPr>
        <w:tblStyle w:val="5"/>
        <w:tblW w:w="89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8"/>
        <w:gridCol w:w="1338"/>
        <w:gridCol w:w="1762"/>
        <w:gridCol w:w="3117"/>
        <w:gridCol w:w="2025"/>
      </w:tblGrid>
      <w:tr w14:paraId="5A89CB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21" w:hRule="atLeast"/>
        </w:trPr>
        <w:tc>
          <w:tcPr>
            <w:tcW w:w="8980" w:type="dxa"/>
            <w:gridSpan w:val="5"/>
            <w:tcBorders>
              <w:top w:val="nil"/>
              <w:left w:val="nil"/>
              <w:bottom w:val="nil"/>
              <w:right w:val="nil"/>
            </w:tcBorders>
            <w:shd w:val="clear" w:color="auto" w:fill="auto"/>
            <w:vAlign w:val="center"/>
          </w:tcPr>
          <w:p w14:paraId="73E55113">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方正小标宋_GBK" w:cs="Times New Roman"/>
                <w:i w:val="0"/>
                <w:iCs w:val="0"/>
                <w:color w:val="000000"/>
                <w:kern w:val="0"/>
                <w:sz w:val="32"/>
                <w:szCs w:val="32"/>
                <w:u w:val="none"/>
                <w:lang w:val="en-US" w:eastAsia="zh-CN" w:bidi="ar"/>
              </w:rPr>
            </w:pPr>
            <w:r>
              <w:rPr>
                <w:rFonts w:hint="default" w:ascii="Times New Roman" w:hAnsi="Times New Roman" w:eastAsia="方正小标宋_GBK" w:cs="Times New Roman"/>
                <w:i w:val="0"/>
                <w:iCs w:val="0"/>
                <w:color w:val="000000"/>
                <w:kern w:val="0"/>
                <w:sz w:val="32"/>
                <w:szCs w:val="32"/>
                <w:u w:val="none"/>
                <w:lang w:val="en-US" w:eastAsia="zh-CN" w:bidi="ar"/>
              </w:rPr>
              <w:t>2025年中央财政衔接推进乡村振兴补助资金绩效目标表</w:t>
            </w:r>
          </w:p>
          <w:p w14:paraId="25551899">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小标宋_GBK" w:cs="Times New Roman"/>
                <w:i w:val="0"/>
                <w:iCs w:val="0"/>
                <w:color w:val="000000"/>
                <w:kern w:val="0"/>
                <w:sz w:val="32"/>
                <w:szCs w:val="32"/>
                <w:u w:val="none"/>
                <w:lang w:val="en-US" w:eastAsia="zh-CN" w:bidi="ar"/>
              </w:rPr>
              <w:t>（市对下）</w:t>
            </w:r>
          </w:p>
        </w:tc>
      </w:tr>
      <w:tr w14:paraId="6DAFA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6FA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项目名称</w:t>
            </w:r>
          </w:p>
        </w:tc>
        <w:tc>
          <w:tcPr>
            <w:tcW w:w="69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D12A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中央财政衔接推进乡村振兴补助资金</w:t>
            </w:r>
          </w:p>
        </w:tc>
      </w:tr>
      <w:tr w14:paraId="3ACAA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 w:hRule="atLeast"/>
        </w:trPr>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8D7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市级主管部门</w:t>
            </w:r>
          </w:p>
        </w:tc>
        <w:tc>
          <w:tcPr>
            <w:tcW w:w="48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D8C0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市财政厅</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911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市农业农村局、民族宗教局</w:t>
            </w:r>
          </w:p>
        </w:tc>
      </w:tr>
      <w:tr w14:paraId="39726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25" w:hRule="atLeast"/>
        </w:trPr>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68B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县（市、区）主管部门</w:t>
            </w:r>
          </w:p>
        </w:tc>
        <w:tc>
          <w:tcPr>
            <w:tcW w:w="48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8514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县（市、区）财政局</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5B2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县（市、区）农业农村、民族宗教部门</w:t>
            </w:r>
          </w:p>
        </w:tc>
      </w:tr>
      <w:tr w14:paraId="4DF9F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224" w:hRule="atLeast"/>
        </w:trPr>
        <w:tc>
          <w:tcPr>
            <w:tcW w:w="738" w:type="dxa"/>
            <w:tcBorders>
              <w:top w:val="single" w:color="000000" w:sz="4" w:space="0"/>
              <w:left w:val="single" w:color="000000" w:sz="4" w:space="0"/>
              <w:bottom w:val="nil"/>
              <w:right w:val="single" w:color="000000" w:sz="4" w:space="0"/>
            </w:tcBorders>
            <w:shd w:val="clear" w:color="auto" w:fill="auto"/>
            <w:vAlign w:val="center"/>
          </w:tcPr>
          <w:p w14:paraId="378412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年度总体目标</w:t>
            </w:r>
          </w:p>
        </w:tc>
        <w:tc>
          <w:tcPr>
            <w:tcW w:w="8242" w:type="dxa"/>
            <w:gridSpan w:val="4"/>
            <w:tcBorders>
              <w:top w:val="single" w:color="000000" w:sz="4" w:space="0"/>
              <w:left w:val="single" w:color="000000" w:sz="4" w:space="0"/>
              <w:bottom w:val="nil"/>
              <w:right w:val="single" w:color="000000" w:sz="4" w:space="0"/>
            </w:tcBorders>
            <w:shd w:val="clear" w:color="auto" w:fill="auto"/>
            <w:vAlign w:val="center"/>
          </w:tcPr>
          <w:p w14:paraId="08DC453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过渡期内在保持财政支持政策总体稳定的前提下，根据巩固拓展脱贫攻坚成果同乡村振兴有效衔接的需要和财力状况，合理安排财政投入规模，优化支出结构，调整支持重点。保留并调整优化原财政专项扶贫资金，聚焦支持脱贫地区巩固拓展脱贫攻坚成果和乡村振兴，适当向国家乡村振兴重点帮扶县倾斜，并逐步提高用于产业发展的比例，中央衔接资金用于产业的比例达到60%；提高资金使用效率和效益，当年衔接资金支出进度目标100%；提高项目资金透明度和公开效果；提升项目库建设水平；促进脱贫人口增收，脱贫地区农村居民人均可支配收入达到全省平均水平或者增速高于全省平均水平。</w:t>
            </w:r>
          </w:p>
        </w:tc>
      </w:tr>
      <w:tr w14:paraId="7D9DB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7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E189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绩效</w:t>
            </w:r>
            <w:r>
              <w:rPr>
                <w:rFonts w:hint="default" w:ascii="Times New Roman" w:hAnsi="Times New Roman" w:eastAsia="方正仿宋_GBK" w:cs="Times New Roman"/>
                <w:i w:val="0"/>
                <w:iCs w:val="0"/>
                <w:color w:val="000000"/>
                <w:kern w:val="0"/>
                <w:sz w:val="24"/>
                <w:szCs w:val="24"/>
                <w:u w:val="none"/>
                <w:lang w:val="en-US" w:eastAsia="zh-CN" w:bidi="ar"/>
              </w:rPr>
              <w:br w:type="textWrapping"/>
            </w:r>
            <w:r>
              <w:rPr>
                <w:rFonts w:hint="default" w:ascii="Times New Roman" w:hAnsi="Times New Roman" w:eastAsia="方正仿宋_GBK" w:cs="Times New Roman"/>
                <w:i w:val="0"/>
                <w:iCs w:val="0"/>
                <w:color w:val="000000"/>
                <w:kern w:val="0"/>
                <w:sz w:val="24"/>
                <w:szCs w:val="24"/>
                <w:u w:val="none"/>
                <w:lang w:val="en-US" w:eastAsia="zh-CN" w:bidi="ar"/>
              </w:rPr>
              <w:t xml:space="preserve">目标                                                                                                                                                                                                                                                                                                                                                                                                                                                                                                                                                                                                                                                                                                                                                                                                                                                                                                                                                                                          </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F76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一级指标</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EBF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二级指标</w:t>
            </w:r>
          </w:p>
        </w:tc>
        <w:tc>
          <w:tcPr>
            <w:tcW w:w="3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420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三级指标</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098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指标内容</w:t>
            </w:r>
          </w:p>
        </w:tc>
      </w:tr>
      <w:tr w14:paraId="361B4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DB3716">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3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8674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产出指标</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D74B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数量指标</w:t>
            </w:r>
          </w:p>
        </w:tc>
        <w:tc>
          <w:tcPr>
            <w:tcW w:w="3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AB05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乡村产业资金投入率</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B9F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&gt;=60%</w:t>
            </w:r>
          </w:p>
        </w:tc>
      </w:tr>
      <w:tr w14:paraId="2A799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6" w:hRule="atLeast"/>
        </w:trPr>
        <w:tc>
          <w:tcPr>
            <w:tcW w:w="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97C39F">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83D862">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2DF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数量指标</w:t>
            </w:r>
          </w:p>
        </w:tc>
        <w:tc>
          <w:tcPr>
            <w:tcW w:w="3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18D9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资金支出率</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BA7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=100%</w:t>
            </w:r>
          </w:p>
        </w:tc>
      </w:tr>
      <w:tr w14:paraId="36475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49142E">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B3738A">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4162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质量指标</w:t>
            </w:r>
          </w:p>
        </w:tc>
        <w:tc>
          <w:tcPr>
            <w:tcW w:w="3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4A6B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项目资金公告公示率</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2FC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=100%</w:t>
            </w:r>
          </w:p>
        </w:tc>
      </w:tr>
      <w:tr w14:paraId="43132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6" w:hRule="atLeast"/>
        </w:trPr>
        <w:tc>
          <w:tcPr>
            <w:tcW w:w="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A50A4">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8BEC92">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2975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质量指标</w:t>
            </w:r>
          </w:p>
        </w:tc>
        <w:tc>
          <w:tcPr>
            <w:tcW w:w="3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9D03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完工项目验收合格率</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269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=100%</w:t>
            </w:r>
          </w:p>
        </w:tc>
      </w:tr>
      <w:tr w14:paraId="7E7A5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EB9798">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A48BD9">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DB6B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时效指标</w:t>
            </w:r>
          </w:p>
        </w:tc>
        <w:tc>
          <w:tcPr>
            <w:tcW w:w="3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1AE7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项目开工率</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BC0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=100%</w:t>
            </w:r>
          </w:p>
        </w:tc>
      </w:tr>
      <w:tr w14:paraId="2387E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8BA7E5">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A2FD42">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6660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时效指标</w:t>
            </w:r>
          </w:p>
        </w:tc>
        <w:tc>
          <w:tcPr>
            <w:tcW w:w="3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0042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项目完工率</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3A0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=100%</w:t>
            </w:r>
          </w:p>
        </w:tc>
      </w:tr>
      <w:tr w14:paraId="6F487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1C2128">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3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5625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效益指标</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068C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经济效益指标</w:t>
            </w:r>
          </w:p>
        </w:tc>
        <w:tc>
          <w:tcPr>
            <w:tcW w:w="3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9078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脱贫地区农村居民人均可支配收入增幅</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006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&gt;=0%</w:t>
            </w:r>
          </w:p>
        </w:tc>
      </w:tr>
      <w:tr w14:paraId="52E75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12EB5B">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252855">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B7B4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社会效益指标</w:t>
            </w:r>
          </w:p>
        </w:tc>
        <w:tc>
          <w:tcPr>
            <w:tcW w:w="3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EDA9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防返贫监测对象覆盖率</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0EC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=100%</w:t>
            </w:r>
          </w:p>
        </w:tc>
      </w:tr>
      <w:tr w14:paraId="1A0BB1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ED9438">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2497E7">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01A9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社会效益指标</w:t>
            </w:r>
          </w:p>
        </w:tc>
        <w:tc>
          <w:tcPr>
            <w:tcW w:w="3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8D2B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风险消除人口帮扶措施覆盖率</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BAA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=100%</w:t>
            </w:r>
          </w:p>
        </w:tc>
      </w:tr>
      <w:tr w14:paraId="72879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BB82D5">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E620ED">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530D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社会效益指标</w:t>
            </w:r>
          </w:p>
        </w:tc>
        <w:tc>
          <w:tcPr>
            <w:tcW w:w="3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ECCC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无规模性返贫</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8EB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无</w:t>
            </w:r>
          </w:p>
        </w:tc>
      </w:tr>
      <w:tr w14:paraId="78E49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12E09E">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iCs w:val="0"/>
                <w:color w:val="000000"/>
                <w:sz w:val="24"/>
                <w:szCs w:val="24"/>
                <w:u w:val="none"/>
              </w:rPr>
            </w:pP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08B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满意度指标</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327C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服务对象满意度指标</w:t>
            </w:r>
          </w:p>
        </w:tc>
        <w:tc>
          <w:tcPr>
            <w:tcW w:w="3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E20C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帮扶工作群众满意度</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570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&gt;=90%</w:t>
            </w:r>
          </w:p>
        </w:tc>
      </w:tr>
    </w:tbl>
    <w:p w14:paraId="523CA15E">
      <w:pPr>
        <w:pStyle w:val="2"/>
        <w:ind w:left="0" w:leftChars="0" w:firstLine="0" w:firstLineChars="0"/>
      </w:pPr>
    </w:p>
    <w:p w14:paraId="5405A930">
      <w:pPr>
        <w:keepNext w:val="0"/>
        <w:keepLines w:val="0"/>
        <w:pageBreakBefore w:val="0"/>
        <w:widowControl w:val="0"/>
        <w:pBdr>
          <w:top w:val="none" w:color="auto" w:sz="0" w:space="0"/>
          <w:bottom w:val="none" w:color="auto" w:sz="0" w:space="0"/>
        </w:pBdr>
        <w:kinsoku/>
        <w:wordWrap/>
        <w:overflowPunct/>
        <w:topLinePunct w:val="0"/>
        <w:autoSpaceDE/>
        <w:autoSpaceDN/>
        <w:bidi w:val="0"/>
        <w:spacing w:after="0"/>
        <w:jc w:val="left"/>
        <w:textAlignment w:val="auto"/>
      </w:pPr>
    </w:p>
    <w:p w14:paraId="22360E07">
      <w:pPr>
        <w:pStyle w:val="2"/>
      </w:pPr>
    </w:p>
    <w:p w14:paraId="00658231">
      <w:pPr>
        <w:keepNext w:val="0"/>
        <w:keepLines w:val="0"/>
        <w:pageBreakBefore w:val="0"/>
        <w:widowControl w:val="0"/>
        <w:kinsoku/>
        <w:wordWrap/>
        <w:overflowPunct/>
        <w:topLinePunct w:val="0"/>
        <w:autoSpaceDE/>
        <w:autoSpaceDN/>
        <w:bidi w:val="0"/>
        <w:adjustRightInd/>
        <w:snapToGrid/>
        <w:spacing w:line="500" w:lineRule="exact"/>
        <w:ind w:left="1136" w:leftChars="0" w:right="0" w:rightChars="0" w:hanging="1136" w:hangingChars="400"/>
        <w:jc w:val="left"/>
        <w:textAlignment w:val="auto"/>
        <w:outlineLvl w:val="9"/>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63360" behindDoc="0" locked="0" layoutInCell="1" allowOverlap="1">
                <wp:simplePos x="0" y="0"/>
                <wp:positionH relativeFrom="column">
                  <wp:posOffset>15240</wp:posOffset>
                </wp:positionH>
                <wp:positionV relativeFrom="paragraph">
                  <wp:posOffset>40640</wp:posOffset>
                </wp:positionV>
                <wp:extent cx="5687695"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687695" cy="635"/>
                        </a:xfrm>
                        <a:prstGeom prst="line">
                          <a:avLst/>
                        </a:prstGeom>
                        <a:ln w="4444"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2pt;margin-top:3.2pt;height:0.05pt;width:447.85pt;z-index:251663360;mso-width-relative:page;mso-height-relative:page;" filled="f" stroked="t" coordsize="21600,21600" o:gfxdata="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TblrjUAAAABQEAAA8AAAAAAAAAAQAgAAAAIgAAAGRycy9kb3ducmV2LnhtbFBLAQIUABQA&#10;AAAIAIdO4kDWje7R9AEAAOYDAAAOAAAAAAAAAAEAIAAAACMBAABkcnMvZTJvRG9jLnhtbFBLBQYA&#10;AAAABgAGAFkBAACJBQAAAAA=&#10;">
                <v:fill on="f" focussize="0,0"/>
                <v:stroke weight="0.34992125984252pt" color="#000000" joinstyle="round"/>
                <v:imagedata o:title=""/>
                <o:lock v:ext="edit" aspectratio="f"/>
              </v:line>
            </w:pict>
          </mc:Fallback>
        </mc:AlternateContent>
      </w:r>
      <w:r>
        <w:rPr>
          <w:rFonts w:hint="default" w:ascii="Times New Roman" w:hAnsi="Times New Roman" w:eastAsia="方正仿宋_GBK" w:cs="Times New Roman"/>
          <w:sz w:val="28"/>
          <w:szCs w:val="28"/>
          <w:lang w:val="en-US" w:eastAsia="zh-CN"/>
        </w:rPr>
        <w:t xml:space="preserve">  抄送：</w:t>
      </w:r>
      <w:r>
        <w:rPr>
          <w:rFonts w:hint="eastAsia" w:ascii="Times New Roman" w:hAnsi="Times New Roman" w:eastAsia="方正仿宋_GBK" w:cs="Times New Roman"/>
          <w:sz w:val="28"/>
          <w:szCs w:val="28"/>
          <w:lang w:val="en-US" w:eastAsia="zh-CN"/>
        </w:rPr>
        <w:t>市民宗局，市农业农村局，</w:t>
      </w:r>
      <w:r>
        <w:rPr>
          <w:rFonts w:hint="default" w:ascii="Times New Roman" w:hAnsi="Times New Roman" w:eastAsia="方正仿宋_GBK" w:cs="Times New Roman"/>
          <w:kern w:val="2"/>
          <w:sz w:val="28"/>
          <w:szCs w:val="28"/>
          <w:lang w:val="en-US" w:eastAsia="zh-CN" w:bidi="ar-SA"/>
        </w:rPr>
        <w:t>市审计局，本局预算科、国库科。</w:t>
      </w:r>
    </w:p>
    <w:p w14:paraId="48B1FF03">
      <w:r>
        <w:rPr>
          <w:rFonts w:hint="default" w:ascii="Times New Roman" w:hAnsi="Times New Roman" w:eastAsia="方正仿宋_GBK" w:cs="Times New Roman"/>
        </w:rPr>
        <mc:AlternateContent>
          <mc:Choice Requires="wps">
            <w:drawing>
              <wp:anchor distT="0" distB="0" distL="114300" distR="114300" simplePos="0" relativeHeight="251664384" behindDoc="0" locked="0" layoutInCell="1" allowOverlap="1">
                <wp:simplePos x="0" y="0"/>
                <wp:positionH relativeFrom="column">
                  <wp:posOffset>23495</wp:posOffset>
                </wp:positionH>
                <wp:positionV relativeFrom="paragraph">
                  <wp:posOffset>321945</wp:posOffset>
                </wp:positionV>
                <wp:extent cx="5687695" cy="635"/>
                <wp:effectExtent l="0" t="0" r="0" b="0"/>
                <wp:wrapNone/>
                <wp:docPr id="5" name="直接连接符 5"/>
                <wp:cNvGraphicFramePr/>
                <a:graphic xmlns:a="http://schemas.openxmlformats.org/drawingml/2006/main">
                  <a:graphicData uri="http://schemas.microsoft.com/office/word/2010/wordprocessingShape">
                    <wps:wsp>
                      <wps:cNvCnPr/>
                      <wps:spPr>
                        <a:xfrm>
                          <a:off x="0" y="0"/>
                          <a:ext cx="5687695" cy="635"/>
                        </a:xfrm>
                        <a:prstGeom prst="line">
                          <a:avLst/>
                        </a:prstGeom>
                        <a:ln w="4444"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5pt;margin-top:25.35pt;height:0.05pt;width:447.85pt;z-index:251664384;mso-width-relative:page;mso-height-relative:page;" filled="f" stroked="t" coordsize="21600,21600" o:gfxdata="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GJBbp1gAAAAcBAAAPAAAAAAAAAAEAIAAAACIAAABkcnMvZG93bnJldi54bWxQSwEC&#10;FAAUAAAACACHTuJAhV2amvYBAADmAwAADgAAAAAAAAABACAAAAAlAQAAZHJzL2Uyb0RvYy54bWxQ&#10;SwUGAAAAAAYABgBZAQAAjQUAAAAA&#10;">
                <v:fill on="f" focussize="0,0"/>
                <v:stroke weight="0.34992125984252pt" color="#000000" joinstyle="round"/>
                <v:imagedata o:title=""/>
                <o:lock v:ext="edit" aspectratio="f"/>
              </v:line>
            </w:pict>
          </mc:Fallback>
        </mc:AlternateContent>
      </w:r>
      <w:r>
        <w:rPr>
          <w:rFonts w:hint="default" w:ascii="Times New Roman" w:hAnsi="Times New Roman" w:eastAsia="方正仿宋_GBK" w:cs="Times New Roman"/>
        </w:rPr>
        <mc:AlternateContent>
          <mc:Choice Requires="wps">
            <w:drawing>
              <wp:anchor distT="0" distB="0" distL="114300" distR="114300" simplePos="0" relativeHeight="251665408" behindDoc="0" locked="0" layoutInCell="1" allowOverlap="1">
                <wp:simplePos x="0" y="0"/>
                <wp:positionH relativeFrom="column">
                  <wp:posOffset>22860</wp:posOffset>
                </wp:positionH>
                <wp:positionV relativeFrom="paragraph">
                  <wp:posOffset>28575</wp:posOffset>
                </wp:positionV>
                <wp:extent cx="5687695"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687695" cy="635"/>
                        </a:xfrm>
                        <a:prstGeom prst="line">
                          <a:avLst/>
                        </a:prstGeom>
                        <a:ln w="31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pt;margin-top:2.25pt;height:0.05pt;width:447.85pt;z-index:251665408;mso-width-relative:page;mso-height-relative:page;" filled="f" stroked="t" coordsize="21600,21600" o:gfxdata="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YedmbVAAAABQEAAA8AAAAAAAAAAQAgAAAAIgAAAGRycy9kb3ducmV2LnhtbFBLAQIU&#10;ABQAAAAIAIdO4kDInNTr9gEAAOYDAAAOAAAAAAAAAAEAIAAAACQBAABkcnMvZTJvRG9jLnhtbFBL&#10;BQYAAAAABgAGAFkBAACMBQAAAAA=&#10;">
                <v:fill on="f" focussize="0,0"/>
                <v:stroke weight="0.25pt" color="#000000" joinstyle="round"/>
                <v:imagedata o:title=""/>
                <o:lock v:ext="edit" aspectratio="f"/>
              </v:line>
            </w:pict>
          </mc:Fallback>
        </mc:AlternateConten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玉溪市财政局办公室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20</w:t>
      </w:r>
      <w:r>
        <w:rPr>
          <w:rFonts w:hint="default" w:ascii="Times New Roman" w:hAnsi="Times New Roman" w:eastAsia="方正仿宋_GBK" w:cs="Times New Roman"/>
          <w:sz w:val="28"/>
          <w:szCs w:val="28"/>
          <w:lang w:val="en-US" w:eastAsia="zh-CN"/>
        </w:rPr>
        <w:t>2</w:t>
      </w:r>
      <w:r>
        <w:rPr>
          <w:rFonts w:hint="eastAsia"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年</w:t>
      </w:r>
      <w:r>
        <w:rPr>
          <w:rFonts w:hint="eastAsia" w:ascii="Times New Roman" w:hAnsi="Times New Roman" w:eastAsia="方正仿宋_GBK" w:cs="Times New Roman"/>
          <w:sz w:val="28"/>
          <w:szCs w:val="28"/>
          <w:lang w:val="en-US" w:eastAsia="zh-CN"/>
        </w:rPr>
        <w:t>6</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8</w:t>
      </w:r>
      <w:r>
        <w:rPr>
          <w:rFonts w:hint="default" w:ascii="Times New Roman" w:hAnsi="Times New Roman" w:eastAsia="方正仿宋_GBK" w:cs="Times New Roman"/>
          <w:sz w:val="28"/>
          <w:szCs w:val="28"/>
        </w:rPr>
        <w:t>日印发</w:t>
      </w:r>
      <w:r>
        <w:rPr>
          <w:rFonts w:hint="default" w:ascii="Times New Roman" w:hAnsi="Times New Roman" w:eastAsia="方正仿宋_GBK" w:cs="Times New Roman"/>
          <w:sz w:val="28"/>
          <w:szCs w:val="28"/>
          <w:lang w:val="en-US" w:eastAsia="zh-CN"/>
        </w:rPr>
        <w:t xml:space="preserve"> </w:t>
      </w:r>
    </w:p>
    <w:sectPr>
      <w:footerReference r:id="rId5" w:type="default"/>
      <w:footerReference r:id="rId6" w:type="even"/>
      <w:pgSz w:w="11906" w:h="16838"/>
      <w:pgMar w:top="1701" w:right="1474" w:bottom="1304" w:left="1587" w:header="1361" w:footer="1191" w:gutter="0"/>
      <w:pgNumType w:fmt="decimal"/>
      <w:cols w:space="0" w:num="1"/>
      <w:rtlGutter w:val="0"/>
      <w:docGrid w:type="linesAndChars" w:linePitch="315" w:charSpace="95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书宋_GBK">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公文小标宋简">
    <w:altName w:val="方正小标宋_GBK"/>
    <w:panose1 w:val="00000000000000000000"/>
    <w:charset w:val="86"/>
    <w:family w:val="modern"/>
    <w:pitch w:val="default"/>
    <w:sig w:usb0="00000000" w:usb1="00000000" w:usb2="0000001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07DA28">
    <w:pPr>
      <w:pStyle w:val="3"/>
      <w:keepNext w:val="0"/>
      <w:keepLines w:val="0"/>
      <w:pageBreakBefore w:val="0"/>
      <w:widowControl w:val="0"/>
      <w:kinsoku/>
      <w:wordWrap w:val="0"/>
      <w:overflowPunct/>
      <w:topLinePunct w:val="0"/>
      <w:autoSpaceDE/>
      <w:autoSpaceDN/>
      <w:bidi w:val="0"/>
      <w:adjustRightInd/>
      <w:snapToGrid w:val="0"/>
      <w:spacing w:line="200" w:lineRule="exact"/>
      <w:ind w:right="720"/>
      <w:textAlignment w:val="auto"/>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90424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90424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EFFE43">
                          <w:pPr>
                            <w:pStyle w:val="3"/>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71.2pt;mso-position-horizontal:outside;mso-position-horizontal-relative:margin;z-index:251659264;mso-width-relative:page;mso-height-relative:page;" filled="f" stroked="f" coordsize="21600,21600" o:gfxdata="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wzZl39QAAAAFAQAADwAAAAAAAAABACAAAAAiAAAAZHJzL2Rvd25yZXYu&#10;eG1sUEsBAhQAFAAAAAgAh07iQPBboMQ4AgAAYgQAAA4AAAAAAAAAAQAgAAAAIwEAAGRycy9lMm9E&#10;b2MueG1sUEsFBgAAAAAGAAYAWQEAAM0FAAAAAA==&#10;">
              <v:fill on="f" focussize="0,0"/>
              <v:stroke on="f" weight="0.5pt"/>
              <v:imagedata o:title=""/>
              <o:lock v:ext="edit" aspectratio="f"/>
              <v:textbox inset="0mm,0mm,0mm,0mm" style="mso-fit-shape-to-text:t;">
                <w:txbxContent>
                  <w:p w14:paraId="6DEFFE43">
                    <w:pPr>
                      <w:pStyle w:val="3"/>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8B48A6">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45CD61">
                          <w:pPr>
                            <w:pStyle w:val="3"/>
                            <w:ind w:firstLine="280" w:firstLineChars="1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945CD61">
                    <w:pPr>
                      <w:pStyle w:val="3"/>
                      <w:ind w:firstLine="280" w:firstLineChars="1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3FFE07">
    <w:pPr>
      <w:pStyle w:val="3"/>
      <w:keepNext w:val="0"/>
      <w:keepLines w:val="0"/>
      <w:pageBreakBefore w:val="0"/>
      <w:widowControl w:val="0"/>
      <w:kinsoku/>
      <w:wordWrap w:val="0"/>
      <w:overflowPunct/>
      <w:topLinePunct w:val="0"/>
      <w:autoSpaceDE/>
      <w:autoSpaceDN/>
      <w:bidi w:val="0"/>
      <w:adjustRightInd/>
      <w:snapToGrid w:val="0"/>
      <w:spacing w:line="200" w:lineRule="exact"/>
      <w:ind w:right="720"/>
      <w:textAlignment w:val="auto"/>
      <w:rPr>
        <w:rFonts w:ascii="宋体" w:hAnsi="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3640A5">
                          <w:pPr>
                            <w:pStyle w:val="3"/>
                          </w:pPr>
                          <w:r>
                            <w:t xml:space="preserve">— </w:t>
                          </w:r>
                          <w:r>
                            <w:fldChar w:fldCharType="begin"/>
                          </w:r>
                          <w:r>
                            <w:instrText xml:space="preserve"> PAGE  \* MERGEFORMAT </w:instrText>
                          </w:r>
                          <w:r>
                            <w:fldChar w:fldCharType="separate"/>
                          </w:r>
                          <w:r>
                            <w:t>5</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313640A5">
                    <w:pPr>
                      <w:pStyle w:val="3"/>
                    </w:pPr>
                    <w:r>
                      <w:t xml:space="preserve">— </w:t>
                    </w:r>
                    <w:r>
                      <w:fldChar w:fldCharType="begin"/>
                    </w:r>
                    <w:r>
                      <w:instrText xml:space="preserve"> PAGE  \* MERGEFORMAT </w:instrText>
                    </w:r>
                    <w:r>
                      <w:fldChar w:fldCharType="separate"/>
                    </w:r>
                    <w:r>
                      <w:t>5</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B2ED30">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7496A9">
                          <w:pPr>
                            <w:pStyle w:val="3"/>
                            <w:ind w:firstLine="280" w:firstLineChars="1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D7496A9">
                    <w:pPr>
                      <w:pStyle w:val="3"/>
                      <w:ind w:firstLine="280" w:firstLineChars="1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evenAndOddHeaders w:val="1"/>
  <w:drawingGridHorizontalSpacing w:val="107"/>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F94B65"/>
    <w:rsid w:val="02166FE3"/>
    <w:rsid w:val="10204305"/>
    <w:rsid w:val="10492CEE"/>
    <w:rsid w:val="120065EA"/>
    <w:rsid w:val="179E7BB3"/>
    <w:rsid w:val="19A52923"/>
    <w:rsid w:val="1AAF1839"/>
    <w:rsid w:val="222A710D"/>
    <w:rsid w:val="27E867C0"/>
    <w:rsid w:val="2CF94B65"/>
    <w:rsid w:val="2DA263D1"/>
    <w:rsid w:val="32723386"/>
    <w:rsid w:val="335234DC"/>
    <w:rsid w:val="39891084"/>
    <w:rsid w:val="39AB0AA2"/>
    <w:rsid w:val="40BC09F6"/>
    <w:rsid w:val="44B96107"/>
    <w:rsid w:val="45C26C2F"/>
    <w:rsid w:val="45EC0A45"/>
    <w:rsid w:val="471758DA"/>
    <w:rsid w:val="48CB2AC3"/>
    <w:rsid w:val="50252009"/>
    <w:rsid w:val="53772781"/>
    <w:rsid w:val="54B17384"/>
    <w:rsid w:val="5A15431D"/>
    <w:rsid w:val="5A535466"/>
    <w:rsid w:val="5AFE6F2B"/>
    <w:rsid w:val="5BE15E63"/>
    <w:rsid w:val="692D3255"/>
    <w:rsid w:val="719B1EF2"/>
    <w:rsid w:val="729C2C97"/>
    <w:rsid w:val="748F74E7"/>
    <w:rsid w:val="75F002B8"/>
    <w:rsid w:val="76FF796C"/>
    <w:rsid w:val="7AA82655"/>
    <w:rsid w:val="7F8D3AF2"/>
    <w:rsid w:val="E7D7DDF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630"/>
    </w:pPr>
    <w:rPr>
      <w:rFonts w:ascii="Times New Roman" w:hAnsi="Times New Roman" w:eastAsia="仿宋_GB2312"/>
      <w:kern w:val="0"/>
      <w:sz w:val="32"/>
      <w:szCs w:val="20"/>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rFonts w:asciiTheme="minorHAnsi" w:hAnsiTheme="minorHAnsi" w:eastAsiaTheme="minorEastAsia" w:cstheme="minorBidi"/>
      <w:sz w:val="18"/>
      <w:szCs w:val="18"/>
    </w:rPr>
  </w:style>
  <w:style w:type="character" w:customStyle="1" w:styleId="9">
    <w:name w:val="页脚 Char"/>
    <w:basedOn w:val="7"/>
    <w:link w:val="3"/>
    <w:qFormat/>
    <w:uiPriority w:val="99"/>
    <w:rPr>
      <w:rFonts w:asciiTheme="minorHAnsi" w:hAnsiTheme="minorHAnsi" w:eastAsiaTheme="minorEastAsia" w:cstheme="minorBidi"/>
      <w:sz w:val="18"/>
      <w:szCs w:val="18"/>
    </w:rPr>
  </w:style>
  <w:style w:type="character" w:customStyle="1" w:styleId="10">
    <w:name w:val="font21"/>
    <w:basedOn w:val="7"/>
    <w:qFormat/>
    <w:uiPriority w:val="0"/>
    <w:rPr>
      <w:rFonts w:hint="eastAsia" w:ascii="宋体" w:hAnsi="宋体" w:eastAsia="宋体" w:cs="宋体"/>
      <w:color w:val="000000"/>
      <w:sz w:val="20"/>
      <w:szCs w:val="20"/>
      <w:u w:val="none"/>
    </w:rPr>
  </w:style>
  <w:style w:type="paragraph" w:customStyle="1" w:styleId="11">
    <w:name w:val="抄 送"/>
    <w:basedOn w:val="12"/>
    <w:qFormat/>
    <w:uiPriority w:val="0"/>
    <w:rPr>
      <w:rFonts w:ascii="Times New Roman" w:hAnsi="Times New Roman" w:eastAsia="仿宋_GB2312"/>
      <w:sz w:val="32"/>
      <w:szCs w:val="20"/>
    </w:rPr>
  </w:style>
  <w:style w:type="paragraph" w:customStyle="1" w:styleId="12">
    <w:name w:val="主题词"/>
    <w:basedOn w:val="1"/>
    <w:qFormat/>
    <w:uiPriority w:val="0"/>
    <w:pPr>
      <w:ind w:left="1246" w:hanging="1246"/>
    </w:pPr>
    <w:rPr>
      <w:rFonts w:eastAsia="公文小标宋简"/>
    </w:rPr>
  </w:style>
  <w:style w:type="character" w:customStyle="1" w:styleId="13">
    <w:name w:val="font61"/>
    <w:basedOn w:val="7"/>
    <w:qFormat/>
    <w:uiPriority w:val="0"/>
    <w:rPr>
      <w:rFonts w:hint="default" w:ascii="Times New Roman" w:hAnsi="Times New Roman" w:cs="Times New Roman"/>
      <w:color w:val="000000"/>
      <w:sz w:val="36"/>
      <w:szCs w:val="36"/>
      <w:u w:val="none"/>
    </w:rPr>
  </w:style>
  <w:style w:type="character" w:customStyle="1" w:styleId="14">
    <w:name w:val="font51"/>
    <w:basedOn w:val="7"/>
    <w:qFormat/>
    <w:uiPriority w:val="0"/>
    <w:rPr>
      <w:rFonts w:ascii="方正仿宋_GBK" w:hAnsi="方正仿宋_GBK" w:eastAsia="方正仿宋_GBK" w:cs="方正仿宋_GBK"/>
      <w:color w:val="000000"/>
      <w:sz w:val="24"/>
      <w:szCs w:val="24"/>
      <w:u w:val="none"/>
    </w:rPr>
  </w:style>
  <w:style w:type="character" w:customStyle="1" w:styleId="15">
    <w:name w:val="font01"/>
    <w:basedOn w:val="7"/>
    <w:qFormat/>
    <w:uiPriority w:val="0"/>
    <w:rPr>
      <w:rFonts w:hint="default" w:ascii="Times New Roman" w:hAnsi="Times New Roman" w:cs="Times New Roman"/>
      <w:color w:val="000000"/>
      <w:sz w:val="24"/>
      <w:szCs w:val="24"/>
      <w:u w:val="none"/>
    </w:rPr>
  </w:style>
  <w:style w:type="character" w:customStyle="1" w:styleId="16">
    <w:name w:val="font81"/>
    <w:basedOn w:val="7"/>
    <w:qFormat/>
    <w:uiPriority w:val="0"/>
    <w:rPr>
      <w:rFonts w:hint="eastAsia" w:ascii="方正仿宋_GBK" w:hAnsi="方正仿宋_GBK" w:eastAsia="方正仿宋_GBK" w:cs="方正仿宋_GBK"/>
      <w:color w:val="000000"/>
      <w:sz w:val="22"/>
      <w:szCs w:val="22"/>
      <w:u w:val="none"/>
    </w:rPr>
  </w:style>
  <w:style w:type="character" w:customStyle="1" w:styleId="17">
    <w:name w:val="font41"/>
    <w:basedOn w:val="7"/>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玉溪市直属党政机关单位</Company>
  <Pages>6</Pages>
  <Words>793</Words>
  <Characters>853</Characters>
  <Lines>2</Lines>
  <Paragraphs>1</Paragraphs>
  <TotalTime>2</TotalTime>
  <ScaleCrop>false</ScaleCrop>
  <LinksUpToDate>false</LinksUpToDate>
  <CharactersWithSpaces>882</CharactersWithSpaces>
  <Application>WPS Office_12.8.2.1117_F1E327BC-269C-435d-A152-05C5408002CA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2018-09-06T09:32:00Z</dcterms:created>
  <dc:creator>市财政局</dc:creator>
  <cp:lastModifiedBy>user</cp:lastModifiedBy>
  <dcterms:modified xsi:type="dcterms:W3CDTF">2025-11-03T17:25:41Z</dcterms:modified>
  <dc:title>玉溪市财政局文件</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2052-12.8.2.1117</vt:lpwstr>
  </property>
  <property fmtid="{D5CDD505-2E9C-101B-9397-08002B2CF9AE}" pid="3" name="docranid">
    <vt:lpwstr>457DDD9DFF5447448CF2D47B17CDF9FC</vt:lpwstr>
  </property>
  <property fmtid="{D5CDD505-2E9C-101B-9397-08002B2CF9AE}" pid="4" name="ICV">
    <vt:lpwstr>5E9EBF36F2B54A49A37C770D0B3F9C99</vt:lpwstr>
  </property>
  <property fmtid="{D5CDD505-2E9C-101B-9397-08002B2CF9AE}" pid="5" name="KSOTemplateDocerSaveRecord">
    <vt:lpwstr>eyJoZGlkIjoiMmYxYWQ4ZjgzNWI3NTE3NzViZjE2N2E4Yzc4OWY2NjQiLCJ1c2VySWQiOiI0MDkxMzE4MjYifQ==</vt:lpwstr>
  </property>
</Properties>
</file>