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898BA1">
      <w:pPr>
        <w:keepNext w:val="0"/>
        <w:keepLines w:val="0"/>
        <w:pageBreakBefore w:val="0"/>
        <w:widowControl w:val="0"/>
        <w:kinsoku/>
        <w:wordWrap/>
        <w:overflowPunct/>
        <w:topLinePunct w:val="0"/>
        <w:autoSpaceDE/>
        <w:autoSpaceDN/>
        <w:bidi w:val="0"/>
        <w:adjustRightInd/>
        <w:snapToGrid/>
        <w:spacing w:beforeAutospacing="0" w:afterAutospacing="0" w:line="150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b/>
          <w:bCs/>
          <w:color w:val="FF0000"/>
          <w:spacing w:val="-14"/>
          <w:w w:val="90"/>
          <w:sz w:val="122"/>
          <w:szCs w:val="122"/>
        </w:rPr>
      </w:pPr>
    </w:p>
    <w:p w14:paraId="62DC9815">
      <w:pPr>
        <w:keepNext w:val="0"/>
        <w:keepLines w:val="0"/>
        <w:pageBreakBefore w:val="0"/>
        <w:widowControl w:val="0"/>
        <w:kinsoku/>
        <w:wordWrap/>
        <w:overflowPunct/>
        <w:topLinePunct w:val="0"/>
        <w:autoSpaceDE/>
        <w:autoSpaceDN/>
        <w:bidi w:val="0"/>
        <w:adjustRightInd/>
        <w:snapToGrid/>
        <w:spacing w:line="1300" w:lineRule="exact"/>
        <w:ind w:left="0" w:leftChars="0" w:right="0" w:rightChars="0" w:firstLine="0" w:firstLineChars="0"/>
        <w:jc w:val="both"/>
        <w:textAlignment w:val="auto"/>
        <w:outlineLvl w:val="9"/>
        <w:rPr>
          <w:rFonts w:hint="eastAsia" w:ascii="仿宋_GB2312" w:eastAsia="仿宋_GB2312"/>
          <w:color w:val="000000"/>
          <w:spacing w:val="-2"/>
          <w:w w:val="90"/>
          <w:sz w:val="32"/>
          <w:szCs w:val="32"/>
        </w:rPr>
      </w:pPr>
    </w:p>
    <w:p w14:paraId="469A54CA">
      <w:pPr>
        <w:keepNext w:val="0"/>
        <w:keepLines w:val="0"/>
        <w:pageBreakBefore w:val="0"/>
        <w:widowControl w:val="0"/>
        <w:tabs>
          <w:tab w:val="left" w:pos="8610"/>
        </w:tabs>
        <w:kinsoku/>
        <w:wordWrap/>
        <w:overflowPunct/>
        <w:topLinePunct w:val="0"/>
        <w:autoSpaceDE/>
        <w:autoSpaceDN/>
        <w:bidi w:val="0"/>
        <w:adjustRightInd/>
        <w:spacing w:before="0" w:beforeLines="0" w:after="0" w:afterLines="0" w:line="560" w:lineRule="exact"/>
        <w:ind w:left="0" w:leftChars="0" w:right="0" w:rightChars="0"/>
        <w:jc w:val="center"/>
        <w:textAlignment w:val="auto"/>
        <w:outlineLvl w:val="9"/>
        <w:rPr>
          <w:rFonts w:hint="eastAsia" w:ascii="楷体_GB2312" w:hAnsi="楷体_GB2312" w:eastAsia="楷体_GB2312" w:cs="楷体_GB2312"/>
          <w:sz w:val="32"/>
          <w:szCs w:val="32"/>
        </w:rPr>
      </w:pPr>
      <w:r>
        <w:rPr>
          <w:rFonts w:hint="default" w:ascii="Times New Roman" w:hAnsi="Times New Roman" w:eastAsia="方正仿宋_GBK" w:cs="Times New Roman"/>
          <w:sz w:val="32"/>
          <w:szCs w:val="32"/>
        </w:rPr>
        <w:t>玉财</w:t>
      </w:r>
      <w:r>
        <w:rPr>
          <w:rFonts w:hint="eastAsia" w:ascii="方正仿宋_GBK" w:hAnsi="方正仿宋_GBK" w:eastAsia="方正仿宋_GBK" w:cs="方正仿宋_GBK"/>
          <w:sz w:val="32"/>
          <w:szCs w:val="32"/>
          <w:lang w:val="en-US" w:eastAsia="zh-CN"/>
        </w:rPr>
        <w:t>农</w:t>
      </w:r>
      <w:r>
        <w:rPr>
          <w:rFonts w:hint="default" w:ascii="Times New Roman" w:hAnsi="Times New Roman" w:eastAsia="方正仿宋_GBK" w:cs="Times New Roman"/>
          <w:sz w:val="32"/>
          <w:szCs w:val="32"/>
        </w:rPr>
        <w:t>〔20</w:t>
      </w:r>
      <w:r>
        <w:rPr>
          <w:rFonts w:hint="eastAsia" w:ascii="Times New Roman" w:hAnsi="Times New Roman" w:eastAsia="方正仿宋_GBK" w:cs="Times New Roman"/>
          <w:sz w:val="32"/>
          <w:szCs w:val="32"/>
          <w:lang w:val="en-US" w:eastAsia="zh-CN"/>
        </w:rPr>
        <w:t>25</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45</w:t>
      </w:r>
      <w:r>
        <w:rPr>
          <w:rFonts w:hint="default" w:ascii="Times New Roman" w:hAnsi="Times New Roman" w:eastAsia="方正仿宋_GBK" w:cs="Times New Roman"/>
          <w:sz w:val="32"/>
          <w:szCs w:val="32"/>
        </w:rPr>
        <w:t>号</w:t>
      </w:r>
    </w:p>
    <w:p w14:paraId="4DB6D314">
      <w:pPr>
        <w:keepNext w:val="0"/>
        <w:keepLines w:val="0"/>
        <w:pageBreakBefore w:val="0"/>
        <w:widowControl w:val="0"/>
        <w:kinsoku/>
        <w:wordWrap/>
        <w:overflowPunct/>
        <w:topLinePunct w:val="0"/>
        <w:autoSpaceDE/>
        <w:autoSpaceDN/>
        <w:bidi w:val="0"/>
        <w:adjustRightInd/>
        <w:spacing w:before="0" w:beforeLines="0" w:after="0" w:afterLines="0" w:line="590" w:lineRule="exact"/>
        <w:ind w:left="0" w:leftChars="0" w:right="0" w:rightChars="0"/>
        <w:textAlignment w:val="auto"/>
        <w:outlineLvl w:val="9"/>
        <w:rPr>
          <w:rFonts w:hint="eastAsia" w:ascii="仿宋_GB2312" w:eastAsia="仿宋_GB2312"/>
          <w:color w:val="000000"/>
          <w:spacing w:val="-2"/>
          <w:w w:val="90"/>
          <w:sz w:val="32"/>
          <w:szCs w:val="32"/>
        </w:rPr>
      </w:pPr>
      <w:bookmarkStart w:id="1" w:name="_GoBack"/>
      <w:bookmarkEnd w:id="1"/>
    </w:p>
    <w:p w14:paraId="2734708E">
      <w:pPr>
        <w:keepNext w:val="0"/>
        <w:keepLines w:val="0"/>
        <w:pageBreakBefore w:val="0"/>
        <w:widowControl w:val="0"/>
        <w:pBdr>
          <w:top w:val="none" w:color="auto" w:sz="0" w:space="0"/>
          <w:bottom w:val="none" w:color="auto" w:sz="0" w:space="0"/>
        </w:pBdr>
        <w:kinsoku/>
        <w:wordWrap/>
        <w:overflowPunct w:val="0"/>
        <w:topLinePunct w:val="0"/>
        <w:autoSpaceDE/>
        <w:autoSpaceDN/>
        <w:bidi w:val="0"/>
        <w:snapToGrid w:val="0"/>
        <w:spacing w:after="0" w:line="590" w:lineRule="exact"/>
        <w:jc w:val="center"/>
        <w:textAlignment w:val="auto"/>
        <w:rPr>
          <w:rFonts w:hint="default" w:ascii="Times New Roman" w:hAnsi="Times New Roman" w:eastAsia="方正小标宋_GBK" w:cs="Times New Roman"/>
          <w:spacing w:val="0"/>
          <w:sz w:val="44"/>
          <w:szCs w:val="44"/>
          <w:lang w:eastAsia="zh-CN"/>
        </w:rPr>
      </w:pPr>
      <w:r>
        <w:rPr>
          <w:rFonts w:hint="default" w:ascii="Times New Roman" w:hAnsi="Times New Roman" w:eastAsia="方正小标宋_GBK" w:cs="Times New Roman"/>
          <w:spacing w:val="0"/>
          <w:sz w:val="44"/>
          <w:szCs w:val="44"/>
          <w:lang w:eastAsia="zh-CN"/>
        </w:rPr>
        <w:t>玉溪市财政局关于下达2025年省级财政衔接推进乡村振兴补助资金（第三批）和省级</w:t>
      </w:r>
    </w:p>
    <w:p w14:paraId="609EDA37">
      <w:pPr>
        <w:keepNext w:val="0"/>
        <w:keepLines w:val="0"/>
        <w:pageBreakBefore w:val="0"/>
        <w:widowControl w:val="0"/>
        <w:pBdr>
          <w:top w:val="none" w:color="auto" w:sz="0" w:space="0"/>
          <w:bottom w:val="none" w:color="auto" w:sz="0" w:space="0"/>
        </w:pBdr>
        <w:kinsoku/>
        <w:wordWrap/>
        <w:overflowPunct w:val="0"/>
        <w:topLinePunct w:val="0"/>
        <w:autoSpaceDE/>
        <w:autoSpaceDN/>
        <w:bidi w:val="0"/>
        <w:snapToGrid w:val="0"/>
        <w:spacing w:after="0" w:line="590" w:lineRule="exact"/>
        <w:jc w:val="center"/>
        <w:textAlignment w:val="auto"/>
        <w:rPr>
          <w:rFonts w:hint="default" w:ascii="Times New Roman" w:hAnsi="Times New Roman" w:eastAsia="方正小标宋_GBK" w:cs="Times New Roman"/>
          <w:spacing w:val="0"/>
          <w:sz w:val="44"/>
          <w:szCs w:val="44"/>
          <w:lang w:eastAsia="zh-CN"/>
        </w:rPr>
      </w:pPr>
      <w:r>
        <w:rPr>
          <w:rFonts w:hint="default" w:ascii="Times New Roman" w:hAnsi="Times New Roman" w:eastAsia="方正小标宋_GBK" w:cs="Times New Roman"/>
          <w:spacing w:val="0"/>
          <w:sz w:val="44"/>
          <w:szCs w:val="44"/>
          <w:lang w:eastAsia="zh-CN"/>
        </w:rPr>
        <w:t>农村综合改革转移支付资金（第四批）的通知</w:t>
      </w:r>
    </w:p>
    <w:p w14:paraId="56091AE0">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jc w:val="center"/>
        <w:textAlignment w:val="auto"/>
        <w:rPr>
          <w:rFonts w:ascii="仿宋_GB2312"/>
          <w:spacing w:val="0"/>
          <w:sz w:val="30"/>
          <w:szCs w:val="30"/>
        </w:rPr>
      </w:pPr>
    </w:p>
    <w:p w14:paraId="573D05B6">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val="0"/>
        <w:snapToGrid w:val="0"/>
        <w:spacing w:after="0" w:line="590" w:lineRule="exact"/>
        <w:jc w:val="both"/>
        <w:textAlignment w:val="auto"/>
        <w:rPr>
          <w:rFonts w:hint="eastAsia" w:ascii="Times New Roman" w:hAnsi="Times New Roman" w:eastAsia="方正仿宋_GBK" w:cs="方正仿宋_GBK"/>
          <w:color w:val="auto"/>
          <w:spacing w:val="0"/>
          <w:sz w:val="32"/>
          <w:szCs w:val="32"/>
          <w:lang w:val="en-US" w:eastAsia="zh-CN"/>
        </w:rPr>
      </w:pPr>
      <w:r>
        <w:rPr>
          <w:rFonts w:hint="eastAsia" w:ascii="Times New Roman" w:hAnsi="Times New Roman" w:eastAsia="方正仿宋_GBK" w:cs="方正仿宋_GBK"/>
          <w:color w:val="auto"/>
          <w:spacing w:val="0"/>
          <w:sz w:val="32"/>
          <w:szCs w:val="32"/>
          <w:lang w:eastAsia="zh-CN"/>
        </w:rPr>
        <w:t>峨山县财政局</w:t>
      </w:r>
      <w:r>
        <w:rPr>
          <w:rFonts w:hint="eastAsia" w:ascii="Times New Roman" w:hAnsi="Times New Roman" w:eastAsia="方正仿宋_GBK" w:cs="方正仿宋_GBK"/>
          <w:color w:val="auto"/>
          <w:spacing w:val="0"/>
          <w:sz w:val="32"/>
          <w:szCs w:val="32"/>
        </w:rPr>
        <w:t>：</w:t>
      </w:r>
    </w:p>
    <w:p w14:paraId="7822BFBF">
      <w:pPr>
        <w:keepNext w:val="0"/>
        <w:keepLines w:val="0"/>
        <w:pageBreakBefore w:val="0"/>
        <w:widowControl w:val="0"/>
        <w:pBdr>
          <w:top w:val="none" w:color="auto" w:sz="0" w:space="0"/>
          <w:bottom w:val="none" w:color="auto" w:sz="0" w:space="0"/>
        </w:pBdr>
        <w:kinsoku/>
        <w:wordWrap/>
        <w:overflowPunct w:val="0"/>
        <w:topLinePunct w:val="0"/>
        <w:autoSpaceDE/>
        <w:autoSpaceDN/>
        <w:bidi w:val="0"/>
        <w:spacing w:after="0" w:line="590" w:lineRule="exact"/>
        <w:ind w:firstLine="640" w:firstLineChars="200"/>
        <w:jc w:val="both"/>
        <w:textAlignment w:val="auto"/>
        <w:rPr>
          <w:rFonts w:hint="eastAsia" w:ascii="Times New Roman" w:hAnsi="Times New Roman" w:eastAsia="方正仿宋_GBK" w:cs="方正仿宋_GBK"/>
          <w:color w:val="auto"/>
          <w:spacing w:val="0"/>
          <w:sz w:val="32"/>
          <w:szCs w:val="32"/>
        </w:rPr>
      </w:pPr>
      <w:bookmarkStart w:id="0" w:name="正文开始"/>
      <w:bookmarkEnd w:id="0"/>
      <w:r>
        <w:rPr>
          <w:rFonts w:hint="eastAsia" w:ascii="Times New Roman" w:hAnsi="Times New Roman" w:eastAsia="方正仿宋_GBK" w:cs="方正仿宋_GBK"/>
          <w:color w:val="auto"/>
          <w:spacing w:val="0"/>
          <w:sz w:val="32"/>
          <w:szCs w:val="32"/>
        </w:rPr>
        <w:t>为支持做好2025年抓党建促乡村振兴“四位一体”</w:t>
      </w:r>
      <w:r>
        <w:rPr>
          <w:rFonts w:hint="eastAsia" w:ascii="Times New Roman" w:hAnsi="Times New Roman" w:eastAsia="方正仿宋_GBK" w:cs="方正仿宋_GBK"/>
          <w:color w:val="auto"/>
          <w:spacing w:val="0"/>
          <w:sz w:val="32"/>
          <w:szCs w:val="32"/>
          <w:lang w:eastAsia="zh-CN"/>
        </w:rPr>
        <w:t>项目建设</w:t>
      </w:r>
      <w:r>
        <w:rPr>
          <w:rFonts w:hint="eastAsia" w:ascii="Times New Roman" w:hAnsi="Times New Roman" w:eastAsia="方正仿宋_GBK" w:cs="方正仿宋_GBK"/>
          <w:color w:val="auto"/>
          <w:spacing w:val="0"/>
          <w:sz w:val="32"/>
          <w:szCs w:val="32"/>
        </w:rPr>
        <w:t>工作，</w:t>
      </w:r>
      <w:r>
        <w:rPr>
          <w:rFonts w:hint="eastAsia" w:ascii="Times New Roman" w:hAnsi="Times New Roman" w:eastAsia="方正仿宋_GBK" w:cs="方正仿宋_GBK"/>
          <w:color w:val="auto"/>
          <w:spacing w:val="0"/>
          <w:sz w:val="32"/>
          <w:szCs w:val="32"/>
          <w:lang w:eastAsia="zh-CN"/>
        </w:rPr>
        <w:t>根据《玉溪市财政局关于下达2025年省级财政衔接推进乡村振兴补助资金（第三批）和省级农村综合改革转移支付资金（第四批）的通知》（</w:t>
      </w:r>
      <w:r>
        <w:rPr>
          <w:rFonts w:hint="eastAsia" w:ascii="Times New Roman" w:hAnsi="Times New Roman" w:eastAsia="方正仿宋_GBK" w:cs="方正仿宋_GBK"/>
          <w:spacing w:val="0"/>
          <w:kern w:val="2"/>
          <w:sz w:val="32"/>
          <w:szCs w:val="32"/>
          <w:lang w:val="en-US" w:eastAsia="zh-CN" w:bidi="ar-SA"/>
        </w:rPr>
        <w:t>云财农〔2025〕70号</w:t>
      </w:r>
      <w:r>
        <w:rPr>
          <w:rFonts w:hint="eastAsia" w:ascii="Times New Roman" w:hAnsi="Times New Roman" w:eastAsia="方正仿宋_GBK" w:cs="方正仿宋_GBK"/>
          <w:color w:val="auto"/>
          <w:spacing w:val="0"/>
          <w:sz w:val="32"/>
          <w:szCs w:val="32"/>
          <w:lang w:eastAsia="zh-CN"/>
        </w:rPr>
        <w:t>），</w:t>
      </w:r>
      <w:r>
        <w:rPr>
          <w:rFonts w:hint="eastAsia" w:ascii="Times New Roman" w:hAnsi="Times New Roman" w:eastAsia="方正仿宋_GBK" w:cs="方正仿宋_GBK"/>
          <w:color w:val="auto"/>
          <w:spacing w:val="0"/>
          <w:sz w:val="32"/>
          <w:szCs w:val="32"/>
        </w:rPr>
        <w:t>现下达2025年省级财政衔接推进乡村振兴补助资金（第三批，以下简称“衔接资金”）和省级农村综合改革转移支付资金（第四批，以下简称“综改资金”）。其中，衔接资金支出科目列</w:t>
      </w:r>
      <w:r>
        <w:rPr>
          <w:rFonts w:hint="eastAsia" w:ascii="Times New Roman" w:hAnsi="Times New Roman" w:eastAsia="方正仿宋_GBK" w:cs="方正仿宋_GBK"/>
          <w:color w:val="auto"/>
          <w:spacing w:val="0"/>
          <w:sz w:val="32"/>
          <w:szCs w:val="32"/>
          <w:lang w:val="en-US" w:eastAsia="zh-CN"/>
        </w:rPr>
        <w:t>2025年</w:t>
      </w:r>
      <w:r>
        <w:rPr>
          <w:rFonts w:hint="eastAsia" w:ascii="Times New Roman" w:hAnsi="Times New Roman" w:eastAsia="方正仿宋_GBK" w:cs="方正仿宋_GBK"/>
          <w:color w:val="auto"/>
          <w:spacing w:val="0"/>
          <w:sz w:val="32"/>
          <w:szCs w:val="32"/>
        </w:rPr>
        <w:t>“21305巩固脱贫攻坚成果衔接乡村振兴”（“项级”科目根据具体实施项目确定），经济科目列“51301上下级政府间转移性支出”；综改资金支出科目列</w:t>
      </w:r>
      <w:r>
        <w:rPr>
          <w:rFonts w:hint="eastAsia" w:ascii="Times New Roman" w:hAnsi="Times New Roman" w:eastAsia="方正仿宋_GBK" w:cs="方正仿宋_GBK"/>
          <w:color w:val="auto"/>
          <w:spacing w:val="0"/>
          <w:sz w:val="32"/>
          <w:szCs w:val="32"/>
          <w:lang w:val="en-US" w:eastAsia="zh-CN"/>
        </w:rPr>
        <w:t>2025年</w:t>
      </w:r>
      <w:r>
        <w:rPr>
          <w:rFonts w:hint="eastAsia" w:ascii="Times New Roman" w:hAnsi="Times New Roman" w:eastAsia="方正仿宋_GBK" w:cs="方正仿宋_GBK"/>
          <w:color w:val="auto"/>
          <w:spacing w:val="0"/>
          <w:sz w:val="32"/>
          <w:szCs w:val="32"/>
        </w:rPr>
        <w:t>“2130</w:t>
      </w:r>
      <w:r>
        <w:rPr>
          <w:rFonts w:hint="eastAsia" w:ascii="Times New Roman" w:hAnsi="Times New Roman" w:eastAsia="方正仿宋_GBK" w:cs="方正仿宋_GBK"/>
          <w:color w:val="auto"/>
          <w:spacing w:val="0"/>
          <w:sz w:val="32"/>
          <w:szCs w:val="32"/>
          <w:lang w:val="en-US" w:eastAsia="zh-CN"/>
        </w:rPr>
        <w:t>799其他</w:t>
      </w:r>
      <w:r>
        <w:rPr>
          <w:rFonts w:hint="eastAsia" w:ascii="Times New Roman" w:hAnsi="Times New Roman" w:eastAsia="方正仿宋_GBK" w:cs="方正仿宋_GBK"/>
          <w:color w:val="auto"/>
          <w:spacing w:val="0"/>
          <w:sz w:val="32"/>
          <w:szCs w:val="32"/>
        </w:rPr>
        <w:t>农村综合改革</w:t>
      </w:r>
      <w:r>
        <w:rPr>
          <w:rFonts w:hint="eastAsia" w:ascii="Times New Roman" w:hAnsi="Times New Roman" w:eastAsia="方正仿宋_GBK" w:cs="方正仿宋_GBK"/>
          <w:color w:val="auto"/>
          <w:spacing w:val="0"/>
          <w:sz w:val="32"/>
          <w:szCs w:val="32"/>
          <w:lang w:eastAsia="zh-CN"/>
        </w:rPr>
        <w:t>支出</w:t>
      </w:r>
      <w:r>
        <w:rPr>
          <w:rFonts w:hint="eastAsia" w:ascii="Times New Roman" w:hAnsi="Times New Roman" w:eastAsia="方正仿宋_GBK" w:cs="方正仿宋_GBK"/>
          <w:color w:val="auto"/>
          <w:spacing w:val="0"/>
          <w:sz w:val="32"/>
          <w:szCs w:val="32"/>
        </w:rPr>
        <w:t>”，经济科目列“51301上下级政府间转移性支出”。现将有关事项通知如下。</w:t>
      </w:r>
    </w:p>
    <w:p w14:paraId="18A05735">
      <w:pPr>
        <w:keepNext w:val="0"/>
        <w:keepLines w:val="0"/>
        <w:pageBreakBefore w:val="0"/>
        <w:widowControl w:val="0"/>
        <w:pBdr>
          <w:top w:val="none" w:color="auto" w:sz="0" w:space="0"/>
          <w:bottom w:val="none" w:color="auto" w:sz="0" w:space="0"/>
        </w:pBdr>
        <w:kinsoku/>
        <w:wordWrap/>
        <w:overflowPunct w:val="0"/>
        <w:topLinePunct w:val="0"/>
        <w:autoSpaceDE/>
        <w:autoSpaceDN/>
        <w:bidi w:val="0"/>
        <w:spacing w:after="0" w:line="590" w:lineRule="exact"/>
        <w:ind w:firstLine="640" w:firstLineChars="200"/>
        <w:jc w:val="both"/>
        <w:textAlignment w:val="auto"/>
        <w:rPr>
          <w:rFonts w:hint="eastAsia" w:ascii="Times New Roman" w:hAnsi="Times New Roman" w:eastAsia="方正仿宋_GBK" w:cs="方正仿宋_GBK"/>
          <w:color w:val="auto"/>
          <w:spacing w:val="0"/>
          <w:sz w:val="32"/>
          <w:szCs w:val="32"/>
        </w:rPr>
      </w:pPr>
      <w:r>
        <w:rPr>
          <w:rFonts w:hint="eastAsia" w:ascii="方正黑体_GBK" w:hAnsi="方正黑体_GBK" w:eastAsia="方正黑体_GBK" w:cs="方正黑体_GBK"/>
          <w:color w:val="auto"/>
          <w:spacing w:val="0"/>
          <w:sz w:val="32"/>
          <w:szCs w:val="32"/>
        </w:rPr>
        <w:t>一、加强资金使用管理。</w:t>
      </w:r>
      <w:r>
        <w:rPr>
          <w:rFonts w:hint="eastAsia" w:ascii="Times New Roman" w:hAnsi="Times New Roman" w:eastAsia="方正仿宋_GBK" w:cs="方正仿宋_GBK"/>
          <w:color w:val="auto"/>
          <w:spacing w:val="0"/>
          <w:sz w:val="32"/>
          <w:szCs w:val="32"/>
        </w:rPr>
        <w:t>此次下达的资金用于2025年抓党建促乡村振兴“四位一体”项目</w:t>
      </w:r>
      <w:r>
        <w:rPr>
          <w:rFonts w:hint="eastAsia" w:ascii="Times New Roman" w:hAnsi="Times New Roman" w:eastAsia="方正仿宋_GBK" w:cs="方正仿宋_GBK"/>
          <w:color w:val="auto"/>
          <w:spacing w:val="0"/>
          <w:sz w:val="32"/>
          <w:szCs w:val="32"/>
          <w:lang w:eastAsia="zh-CN"/>
        </w:rPr>
        <w:t>建设</w:t>
      </w:r>
      <w:r>
        <w:rPr>
          <w:rFonts w:hint="eastAsia" w:ascii="Times New Roman" w:hAnsi="Times New Roman" w:eastAsia="方正仿宋_GBK" w:cs="方正仿宋_GBK"/>
          <w:color w:val="auto"/>
          <w:spacing w:val="0"/>
          <w:sz w:val="32"/>
          <w:szCs w:val="32"/>
        </w:rPr>
        <w:t>，其中，衔接资金用于发展集体经济，综改资金用于改善人居环境、建强基层组织和提升乡村治理水平（详见附件1）。请尽快下达资金，对照资金来源和支持方向，严格按照衔接资金和综改资金管理办法规定，依法依规使用资金，加强资金使用监管，严肃财经纪律。</w:t>
      </w:r>
    </w:p>
    <w:p w14:paraId="6C09BFB1">
      <w:pPr>
        <w:keepNext w:val="0"/>
        <w:keepLines w:val="0"/>
        <w:pageBreakBefore w:val="0"/>
        <w:widowControl w:val="0"/>
        <w:pBdr>
          <w:top w:val="none" w:color="auto" w:sz="0" w:space="0"/>
          <w:bottom w:val="none" w:color="auto" w:sz="0" w:space="0"/>
        </w:pBdr>
        <w:kinsoku/>
        <w:wordWrap/>
        <w:overflowPunct w:val="0"/>
        <w:topLinePunct w:val="0"/>
        <w:autoSpaceDE/>
        <w:autoSpaceDN/>
        <w:bidi w:val="0"/>
        <w:spacing w:after="0" w:line="590" w:lineRule="exact"/>
        <w:ind w:firstLine="640" w:firstLineChars="200"/>
        <w:jc w:val="both"/>
        <w:textAlignment w:val="auto"/>
        <w:rPr>
          <w:rFonts w:hint="eastAsia" w:ascii="Times New Roman" w:hAnsi="Times New Roman" w:eastAsia="方正仿宋_GBK" w:cs="方正仿宋_GBK"/>
          <w:color w:val="auto"/>
          <w:spacing w:val="0"/>
          <w:sz w:val="32"/>
          <w:szCs w:val="32"/>
        </w:rPr>
      </w:pPr>
      <w:r>
        <w:rPr>
          <w:rFonts w:hint="eastAsia" w:ascii="方正黑体_GBK" w:hAnsi="方正黑体_GBK" w:eastAsia="方正黑体_GBK" w:cs="方正黑体_GBK"/>
          <w:color w:val="auto"/>
          <w:spacing w:val="0"/>
          <w:sz w:val="32"/>
          <w:szCs w:val="32"/>
        </w:rPr>
        <w:t>二、切实加快工作进度。</w:t>
      </w:r>
      <w:r>
        <w:rPr>
          <w:rFonts w:hint="eastAsia" w:ascii="Times New Roman" w:hAnsi="Times New Roman" w:eastAsia="方正仿宋_GBK" w:cs="方正仿宋_GBK"/>
          <w:color w:val="auto"/>
          <w:spacing w:val="0"/>
          <w:sz w:val="32"/>
          <w:szCs w:val="32"/>
        </w:rPr>
        <w:t>财政部门要</w:t>
      </w:r>
      <w:r>
        <w:rPr>
          <w:rFonts w:hint="eastAsia" w:ascii="Times New Roman" w:hAnsi="Times New Roman" w:eastAsia="方正仿宋_GBK" w:cs="方正仿宋_GBK"/>
          <w:color w:val="auto"/>
          <w:spacing w:val="0"/>
          <w:sz w:val="32"/>
          <w:szCs w:val="32"/>
          <w:lang w:eastAsia="zh-CN"/>
        </w:rPr>
        <w:t>会同组织部门和农业农村部门</w:t>
      </w:r>
      <w:r>
        <w:rPr>
          <w:rFonts w:hint="eastAsia" w:ascii="Times New Roman" w:hAnsi="Times New Roman" w:eastAsia="方正仿宋_GBK" w:cs="方正仿宋_GBK"/>
          <w:color w:val="auto"/>
          <w:spacing w:val="0"/>
          <w:sz w:val="32"/>
          <w:szCs w:val="32"/>
        </w:rPr>
        <w:t>把抓党建促乡村振兴“四位一体”项目作为推进乡村全面振兴的重点工作来抓，按照《云南省抓党建促乡村振兴“四位一体”项目管理办法（试行）》</w:t>
      </w:r>
      <w:r>
        <w:rPr>
          <w:rFonts w:hint="eastAsia" w:ascii="Times New Roman" w:hAnsi="Times New Roman" w:eastAsia="方正仿宋_GBK" w:cs="方正仿宋_GBK"/>
          <w:color w:val="auto"/>
          <w:spacing w:val="0"/>
          <w:sz w:val="32"/>
          <w:szCs w:val="32"/>
          <w:lang w:eastAsia="zh-CN"/>
        </w:rPr>
        <w:t>要求，狠抓</w:t>
      </w:r>
      <w:r>
        <w:rPr>
          <w:rFonts w:hint="eastAsia" w:ascii="Times New Roman" w:hAnsi="Times New Roman" w:eastAsia="方正仿宋_GBK" w:cs="方正仿宋_GBK"/>
          <w:color w:val="auto"/>
          <w:spacing w:val="0"/>
          <w:sz w:val="32"/>
          <w:szCs w:val="32"/>
        </w:rPr>
        <w:t>工作落实、提升项目质效、强化示范引领，确保项目于2025年底前完工、资金全部支出。衔接资金支持的项目内容，要督促项目主管部门按规定及时纳入县级巩固拓展脱贫攻坚成果和乡村振兴项目库。完成项目批复后3个工作日内，县财政局要将整个项目录入“云南省农村综合改革项目资金管理系统”，项目建设进展及资金支出情况实时录入系统。</w:t>
      </w:r>
    </w:p>
    <w:p w14:paraId="756F0A90">
      <w:pPr>
        <w:keepNext w:val="0"/>
        <w:keepLines w:val="0"/>
        <w:pageBreakBefore w:val="0"/>
        <w:widowControl w:val="0"/>
        <w:pBdr>
          <w:top w:val="none" w:color="auto" w:sz="0" w:space="0"/>
          <w:bottom w:val="none" w:color="auto" w:sz="0" w:space="0"/>
        </w:pBdr>
        <w:kinsoku/>
        <w:wordWrap/>
        <w:overflowPunct w:val="0"/>
        <w:topLinePunct w:val="0"/>
        <w:autoSpaceDE/>
        <w:autoSpaceDN/>
        <w:bidi w:val="0"/>
        <w:spacing w:after="0" w:line="590" w:lineRule="exact"/>
        <w:ind w:firstLine="640" w:firstLineChars="200"/>
        <w:jc w:val="both"/>
        <w:textAlignment w:val="auto"/>
        <w:rPr>
          <w:rFonts w:hint="eastAsia" w:ascii="Times New Roman" w:hAnsi="Times New Roman" w:eastAsia="方正仿宋_GBK" w:cs="方正仿宋_GBK"/>
          <w:color w:val="auto"/>
          <w:spacing w:val="0"/>
          <w:sz w:val="32"/>
          <w:szCs w:val="32"/>
        </w:rPr>
      </w:pPr>
      <w:r>
        <w:rPr>
          <w:rFonts w:hint="eastAsia" w:ascii="方正黑体_GBK" w:hAnsi="方正黑体_GBK" w:eastAsia="方正黑体_GBK" w:cs="方正黑体_GBK"/>
          <w:color w:val="auto"/>
          <w:spacing w:val="0"/>
          <w:sz w:val="32"/>
          <w:szCs w:val="32"/>
        </w:rPr>
        <w:t>三、加强预算绩效管理。</w:t>
      </w:r>
      <w:r>
        <w:rPr>
          <w:rFonts w:hint="eastAsia" w:ascii="Times New Roman" w:hAnsi="Times New Roman" w:eastAsia="方正仿宋_GBK" w:cs="方正仿宋_GBK"/>
          <w:color w:val="auto"/>
          <w:spacing w:val="0"/>
          <w:sz w:val="32"/>
          <w:szCs w:val="32"/>
        </w:rPr>
        <w:t>本次一并下达区域绩效目标（详见附件2）。</w:t>
      </w:r>
      <w:r>
        <w:rPr>
          <w:rFonts w:hint="eastAsia" w:ascii="Times New Roman" w:hAnsi="Times New Roman" w:eastAsia="方正仿宋_GBK" w:cs="方正仿宋_GBK"/>
          <w:color w:val="auto"/>
          <w:spacing w:val="0"/>
          <w:sz w:val="32"/>
          <w:szCs w:val="32"/>
          <w:lang w:eastAsia="zh-CN"/>
        </w:rPr>
        <w:t>要</w:t>
      </w:r>
      <w:r>
        <w:rPr>
          <w:rFonts w:hint="eastAsia" w:ascii="Times New Roman" w:hAnsi="Times New Roman" w:eastAsia="方正仿宋_GBK" w:cs="方正仿宋_GBK"/>
          <w:color w:val="auto"/>
          <w:spacing w:val="0"/>
          <w:sz w:val="32"/>
          <w:szCs w:val="32"/>
        </w:rPr>
        <w:t>严格执行《云南省财政衔接推进乡村振兴补助资金绩效评价及考核办法》、《云南省农村综合改革转移支付绩效管理实施细则》等规定，加强全过程绩效管理，提高财政资金使用效益，确保区域绩效目标如期实现。</w:t>
      </w:r>
    </w:p>
    <w:p w14:paraId="495BA874">
      <w:pPr>
        <w:keepNext w:val="0"/>
        <w:keepLines w:val="0"/>
        <w:pageBreakBefore w:val="0"/>
        <w:widowControl w:val="0"/>
        <w:pBdr>
          <w:top w:val="none" w:color="auto" w:sz="0" w:space="0"/>
          <w:bottom w:val="none" w:color="auto" w:sz="0" w:space="0"/>
        </w:pBdr>
        <w:tabs>
          <w:tab w:val="left" w:pos="7560"/>
          <w:tab w:val="left" w:pos="7770"/>
          <w:tab w:val="left" w:pos="7980"/>
        </w:tabs>
        <w:kinsoku/>
        <w:wordWrap/>
        <w:overflowPunct w:val="0"/>
        <w:topLinePunct w:val="0"/>
        <w:autoSpaceDE/>
        <w:autoSpaceDN/>
        <w:bidi w:val="0"/>
        <w:spacing w:after="0" w:line="590" w:lineRule="exact"/>
        <w:ind w:firstLine="640" w:firstLineChars="200"/>
        <w:textAlignment w:val="auto"/>
        <w:rPr>
          <w:rFonts w:hint="eastAsia" w:ascii="Times New Roman" w:hAnsi="Times New Roman" w:eastAsia="方正仿宋_GBK" w:cs="方正仿宋_GBK"/>
          <w:color w:val="auto"/>
          <w:spacing w:val="0"/>
          <w:sz w:val="32"/>
          <w:szCs w:val="32"/>
        </w:rPr>
      </w:pPr>
    </w:p>
    <w:p w14:paraId="479DCAF9">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ind w:firstLine="640" w:firstLineChars="200"/>
        <w:jc w:val="both"/>
        <w:textAlignment w:val="auto"/>
        <w:rPr>
          <w:rFonts w:hint="eastAsia" w:ascii="Times New Roman" w:hAnsi="Times New Roman" w:eastAsia="方正仿宋_GBK" w:cs="方正仿宋_GBK"/>
          <w:color w:val="auto"/>
          <w:spacing w:val="0"/>
          <w:sz w:val="32"/>
          <w:szCs w:val="32"/>
        </w:rPr>
      </w:pPr>
      <w:r>
        <w:rPr>
          <w:rFonts w:hint="eastAsia" w:ascii="Times New Roman" w:hAnsi="Times New Roman" w:eastAsia="方正仿宋_GBK" w:cs="方正仿宋_GBK"/>
          <w:color w:val="auto"/>
          <w:spacing w:val="0"/>
          <w:sz w:val="32"/>
          <w:szCs w:val="32"/>
        </w:rPr>
        <w:t>附件：1</w:t>
      </w:r>
      <w:r>
        <w:rPr>
          <w:rFonts w:hint="eastAsia" w:ascii="Times New Roman" w:hAnsi="Times New Roman" w:eastAsia="方正仿宋_GBK" w:cs="方正仿宋_GBK"/>
          <w:color w:val="auto"/>
          <w:spacing w:val="0"/>
          <w:sz w:val="32"/>
          <w:szCs w:val="32"/>
          <w:lang w:eastAsia="zh-CN"/>
        </w:rPr>
        <w:t>．</w:t>
      </w:r>
      <w:r>
        <w:rPr>
          <w:rFonts w:hint="eastAsia" w:ascii="Times New Roman" w:hAnsi="Times New Roman" w:eastAsia="方正仿宋_GBK" w:cs="方正仿宋_GBK"/>
          <w:color w:val="auto"/>
          <w:spacing w:val="0"/>
          <w:sz w:val="32"/>
          <w:szCs w:val="32"/>
        </w:rPr>
        <w:t>2025年省级财政衔接推进乡村振兴补助资金和省</w:t>
      </w:r>
    </w:p>
    <w:p w14:paraId="270F016C">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ind w:firstLine="1920" w:firstLineChars="600"/>
        <w:jc w:val="both"/>
        <w:textAlignment w:val="auto"/>
        <w:rPr>
          <w:rFonts w:hint="eastAsia" w:ascii="Times New Roman" w:hAnsi="Times New Roman" w:eastAsia="方正仿宋_GBK" w:cs="方正仿宋_GBK"/>
          <w:color w:val="auto"/>
          <w:spacing w:val="0"/>
          <w:sz w:val="32"/>
          <w:szCs w:val="32"/>
        </w:rPr>
      </w:pPr>
      <w:r>
        <w:rPr>
          <w:rFonts w:hint="eastAsia" w:ascii="Times New Roman" w:hAnsi="Times New Roman" w:eastAsia="方正仿宋_GBK" w:cs="方正仿宋_GBK"/>
          <w:color w:val="auto"/>
          <w:spacing w:val="0"/>
          <w:sz w:val="32"/>
          <w:szCs w:val="32"/>
        </w:rPr>
        <w:t>级农村综合改革转移支付资金下达表</w:t>
      </w:r>
    </w:p>
    <w:p w14:paraId="337C534A">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ind w:left="1882" w:leftChars="744" w:hanging="320" w:hangingChars="100"/>
        <w:jc w:val="both"/>
        <w:textAlignment w:val="auto"/>
        <w:rPr>
          <w:rFonts w:hint="eastAsia" w:ascii="Times New Roman" w:hAnsi="Times New Roman" w:eastAsia="方正仿宋_GBK" w:cs="方正仿宋_GBK"/>
          <w:color w:val="auto"/>
          <w:spacing w:val="0"/>
          <w:sz w:val="32"/>
          <w:szCs w:val="32"/>
        </w:rPr>
      </w:pPr>
      <w:r>
        <w:rPr>
          <w:rFonts w:hint="eastAsia" w:ascii="Times New Roman" w:hAnsi="Times New Roman" w:eastAsia="方正仿宋_GBK" w:cs="方正仿宋_GBK"/>
          <w:color w:val="auto"/>
          <w:spacing w:val="0"/>
          <w:sz w:val="32"/>
          <w:szCs w:val="32"/>
        </w:rPr>
        <w:t>2</w:t>
      </w:r>
      <w:r>
        <w:rPr>
          <w:rFonts w:hint="eastAsia" w:ascii="Times New Roman" w:hAnsi="Times New Roman" w:eastAsia="方正仿宋_GBK" w:cs="方正仿宋_GBK"/>
          <w:color w:val="auto"/>
          <w:spacing w:val="0"/>
          <w:sz w:val="32"/>
          <w:szCs w:val="32"/>
          <w:lang w:eastAsia="zh-CN"/>
        </w:rPr>
        <w:t>．</w:t>
      </w:r>
      <w:r>
        <w:rPr>
          <w:rFonts w:hint="eastAsia" w:ascii="Times New Roman" w:hAnsi="Times New Roman" w:eastAsia="方正仿宋_GBK" w:cs="方正仿宋_GBK"/>
          <w:color w:val="auto"/>
          <w:spacing w:val="0"/>
          <w:sz w:val="32"/>
          <w:szCs w:val="32"/>
        </w:rPr>
        <w:t>2025年省级财政衔接推进乡村振兴补助资金和省</w:t>
      </w:r>
    </w:p>
    <w:p w14:paraId="0536CF2C">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ind w:firstLine="1920" w:firstLineChars="600"/>
        <w:jc w:val="both"/>
        <w:textAlignment w:val="auto"/>
        <w:rPr>
          <w:rFonts w:hint="eastAsia" w:ascii="Times New Roman" w:hAnsi="Times New Roman" w:eastAsia="方正仿宋_GBK" w:cs="方正仿宋_GBK"/>
          <w:color w:val="auto"/>
          <w:spacing w:val="0"/>
          <w:sz w:val="32"/>
          <w:szCs w:val="32"/>
        </w:rPr>
      </w:pPr>
      <w:r>
        <w:rPr>
          <w:rFonts w:hint="eastAsia" w:ascii="Times New Roman" w:hAnsi="Times New Roman" w:eastAsia="方正仿宋_GBK" w:cs="方正仿宋_GBK"/>
          <w:color w:val="auto"/>
          <w:spacing w:val="0"/>
          <w:sz w:val="32"/>
          <w:szCs w:val="32"/>
        </w:rPr>
        <w:t>级农村综合改革转移支付资金区域绩效目标表</w:t>
      </w:r>
    </w:p>
    <w:p w14:paraId="65763604">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ind w:firstLine="640" w:firstLineChars="200"/>
        <w:jc w:val="both"/>
        <w:textAlignment w:val="auto"/>
        <w:rPr>
          <w:rFonts w:hint="eastAsia" w:ascii="Times New Roman" w:hAnsi="Times New Roman" w:eastAsia="方正仿宋_GBK" w:cs="方正仿宋_GBK"/>
          <w:color w:val="auto"/>
          <w:spacing w:val="0"/>
          <w:sz w:val="32"/>
          <w:szCs w:val="32"/>
        </w:rPr>
      </w:pPr>
    </w:p>
    <w:p w14:paraId="6C3D7156">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ind w:firstLine="640" w:firstLineChars="200"/>
        <w:jc w:val="both"/>
        <w:textAlignment w:val="auto"/>
        <w:rPr>
          <w:rFonts w:hint="eastAsia" w:ascii="Times New Roman" w:hAnsi="Times New Roman" w:eastAsia="方正仿宋_GBK" w:cs="方正仿宋_GBK"/>
          <w:color w:val="auto"/>
          <w:spacing w:val="0"/>
          <w:sz w:val="32"/>
          <w:szCs w:val="32"/>
        </w:rPr>
      </w:pPr>
    </w:p>
    <w:p w14:paraId="221E9A34">
      <w:pPr>
        <w:pStyle w:val="2"/>
        <w:keepNext w:val="0"/>
        <w:keepLines w:val="0"/>
        <w:pageBreakBefore w:val="0"/>
        <w:widowControl w:val="0"/>
        <w:kinsoku/>
        <w:wordWrap/>
        <w:overflowPunct w:val="0"/>
        <w:topLinePunct w:val="0"/>
        <w:autoSpaceDE/>
        <w:autoSpaceDN/>
        <w:bidi w:val="0"/>
        <w:adjustRightInd/>
        <w:snapToGrid/>
        <w:spacing w:after="0" w:line="590" w:lineRule="exact"/>
        <w:ind w:firstLine="629"/>
        <w:textAlignment w:val="auto"/>
        <w:rPr>
          <w:rFonts w:hint="eastAsia" w:ascii="Times New Roman" w:hAnsi="Times New Roman" w:eastAsia="方正仿宋_GBK" w:cs="方正仿宋_GBK"/>
          <w:spacing w:val="0"/>
          <w:sz w:val="32"/>
          <w:szCs w:val="32"/>
        </w:rPr>
      </w:pPr>
    </w:p>
    <w:p w14:paraId="64A79E19">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ind w:firstLine="5372" w:firstLineChars="1679"/>
        <w:jc w:val="both"/>
        <w:textAlignment w:val="auto"/>
        <w:rPr>
          <w:rFonts w:hint="eastAsia" w:ascii="Times New Roman" w:hAnsi="Times New Roman" w:eastAsia="方正仿宋_GBK" w:cs="方正仿宋_GBK"/>
          <w:color w:val="auto"/>
          <w:spacing w:val="0"/>
          <w:sz w:val="32"/>
          <w:szCs w:val="32"/>
        </w:rPr>
      </w:pPr>
    </w:p>
    <w:p w14:paraId="76B9A118">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ind w:firstLine="320" w:firstLineChars="100"/>
        <w:jc w:val="center"/>
        <w:textAlignment w:val="auto"/>
        <w:rPr>
          <w:rFonts w:hint="eastAsia" w:ascii="Times New Roman" w:hAnsi="Times New Roman" w:eastAsia="方正仿宋_GBK" w:cs="方正仿宋_GBK"/>
          <w:color w:val="auto"/>
          <w:spacing w:val="0"/>
          <w:sz w:val="32"/>
          <w:szCs w:val="32"/>
        </w:rPr>
        <w:sectPr>
          <w:footerReference r:id="rId3" w:type="default"/>
          <w:footerReference r:id="rId4" w:type="even"/>
          <w:pgSz w:w="11906" w:h="16838"/>
          <w:pgMar w:top="2041" w:right="1474" w:bottom="1304" w:left="1587" w:header="851" w:footer="992" w:gutter="0"/>
          <w:pgNumType w:fmt="decimal"/>
          <w:cols w:space="0" w:num="1"/>
          <w:docGrid w:type="linesAndChars" w:linePitch="312" w:charSpace="0"/>
        </w:sectPr>
      </w:pPr>
      <w:r>
        <w:rPr>
          <w:rFonts w:hint="eastAsia" w:ascii="Times New Roman" w:hAnsi="Times New Roman" w:eastAsia="方正仿宋_GBK" w:cs="方正仿宋_GBK"/>
          <w:color w:val="auto"/>
          <w:spacing w:val="0"/>
          <w:sz w:val="32"/>
          <w:szCs w:val="32"/>
          <w:lang w:val="en-US" w:eastAsia="zh-CN"/>
        </w:rPr>
        <w:t xml:space="preserve">                   </w:t>
      </w:r>
      <w:r>
        <w:rPr>
          <w:rFonts w:hint="eastAsia" w:ascii="Times New Roman" w:hAnsi="Times New Roman" w:eastAsia="方正仿宋_GBK" w:cs="方正仿宋_GBK"/>
          <w:color w:val="auto"/>
          <w:spacing w:val="0"/>
          <w:sz w:val="32"/>
          <w:szCs w:val="32"/>
        </w:rPr>
        <w:t>2025年</w:t>
      </w:r>
      <w:r>
        <w:rPr>
          <w:rFonts w:hint="eastAsia" w:ascii="Times New Roman" w:hAnsi="Times New Roman" w:eastAsia="方正仿宋_GBK" w:cs="方正仿宋_GBK"/>
          <w:color w:val="auto"/>
          <w:spacing w:val="0"/>
          <w:sz w:val="32"/>
          <w:szCs w:val="32"/>
          <w:lang w:val="en-US" w:eastAsia="zh-CN"/>
        </w:rPr>
        <w:t>6</w:t>
      </w:r>
      <w:r>
        <w:rPr>
          <w:rFonts w:hint="eastAsia" w:ascii="Times New Roman" w:hAnsi="Times New Roman" w:eastAsia="方正仿宋_GBK" w:cs="方正仿宋_GBK"/>
          <w:color w:val="auto"/>
          <w:spacing w:val="0"/>
          <w:sz w:val="32"/>
          <w:szCs w:val="32"/>
        </w:rPr>
        <w:t>月</w:t>
      </w:r>
      <w:r>
        <w:rPr>
          <w:rFonts w:hint="eastAsia" w:ascii="Times New Roman" w:hAnsi="Times New Roman" w:eastAsia="方正仿宋_GBK" w:cs="方正仿宋_GBK"/>
          <w:color w:val="auto"/>
          <w:spacing w:val="0"/>
          <w:sz w:val="32"/>
          <w:szCs w:val="32"/>
          <w:lang w:val="en-US" w:eastAsia="zh-CN"/>
        </w:rPr>
        <w:t>20</w:t>
      </w:r>
      <w:r>
        <w:rPr>
          <w:rFonts w:hint="eastAsia" w:ascii="Times New Roman" w:hAnsi="Times New Roman" w:eastAsia="方正仿宋_GBK" w:cs="方正仿宋_GBK"/>
          <w:color w:val="auto"/>
          <w:spacing w:val="0"/>
          <w:sz w:val="32"/>
          <w:szCs w:val="32"/>
        </w:rPr>
        <w:t>日</w:t>
      </w:r>
    </w:p>
    <w:p w14:paraId="71778E2F">
      <w:pPr>
        <w:pStyle w:val="2"/>
        <w:ind w:left="0" w:leftChars="0" w:firstLine="0" w:firstLineChars="0"/>
        <w:rPr>
          <w:rFonts w:hint="default"/>
          <w:lang w:val="en-US" w:eastAsia="zh-CN"/>
        </w:rPr>
      </w:pPr>
      <w:r>
        <w:rPr>
          <w:rFonts w:hint="eastAsia" w:ascii="方正黑体_GBK" w:hAnsi="方正黑体_GBK" w:eastAsia="方正黑体_GBK" w:cs="方正黑体_GBK"/>
          <w:lang w:val="en-US" w:eastAsia="zh-CN"/>
        </w:rPr>
        <w:t>附件</w:t>
      </w:r>
      <w:r>
        <w:rPr>
          <w:rFonts w:hint="eastAsia"/>
          <w:lang w:val="en-US" w:eastAsia="zh-CN"/>
        </w:rPr>
        <w:t>1</w:t>
      </w:r>
    </w:p>
    <w:tbl>
      <w:tblPr>
        <w:tblStyle w:val="5"/>
        <w:tblW w:w="1359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8"/>
        <w:gridCol w:w="1468"/>
        <w:gridCol w:w="1453"/>
        <w:gridCol w:w="1252"/>
        <w:gridCol w:w="1686"/>
        <w:gridCol w:w="1128"/>
        <w:gridCol w:w="1380"/>
        <w:gridCol w:w="1856"/>
        <w:gridCol w:w="2669"/>
      </w:tblGrid>
      <w:tr w14:paraId="1034D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0" w:hRule="atLeast"/>
        </w:trPr>
        <w:tc>
          <w:tcPr>
            <w:tcW w:w="13590" w:type="dxa"/>
            <w:gridSpan w:val="9"/>
            <w:tcBorders>
              <w:top w:val="nil"/>
              <w:left w:val="nil"/>
              <w:bottom w:val="nil"/>
              <w:right w:val="nil"/>
            </w:tcBorders>
            <w:shd w:val="clear" w:color="auto" w:fill="auto"/>
            <w:vAlign w:val="center"/>
          </w:tcPr>
          <w:p w14:paraId="54686CB5">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2025年省级财政衔接推进乡村振兴补助资金</w:t>
            </w:r>
            <w:r>
              <w:rPr>
                <w:rFonts w:hint="eastAsia" w:ascii="方正小标宋简体" w:hAnsi="方正小标宋简体" w:eastAsia="方正小标宋简体" w:cs="方正小标宋简体"/>
                <w:i w:val="0"/>
                <w:iCs w:val="0"/>
                <w:color w:val="000000"/>
                <w:kern w:val="0"/>
                <w:sz w:val="40"/>
                <w:szCs w:val="40"/>
                <w:u w:val="none"/>
                <w:lang w:val="en-US" w:eastAsia="zh-CN" w:bidi="ar"/>
              </w:rPr>
              <w:br w:type="textWrapping"/>
            </w:r>
            <w:r>
              <w:rPr>
                <w:rFonts w:hint="eastAsia" w:ascii="方正小标宋简体" w:hAnsi="方正小标宋简体" w:eastAsia="方正小标宋简体" w:cs="方正小标宋简体"/>
                <w:i w:val="0"/>
                <w:iCs w:val="0"/>
                <w:color w:val="000000"/>
                <w:kern w:val="0"/>
                <w:sz w:val="40"/>
                <w:szCs w:val="40"/>
                <w:u w:val="none"/>
                <w:lang w:val="en-US" w:eastAsia="zh-CN" w:bidi="ar"/>
              </w:rPr>
              <w:t>和省级农村综合改革转移支付资金下达表</w:t>
            </w:r>
          </w:p>
        </w:tc>
      </w:tr>
      <w:tr w14:paraId="5B0CB7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E003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序号</w:t>
            </w:r>
          </w:p>
        </w:tc>
        <w:tc>
          <w:tcPr>
            <w:tcW w:w="14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0FA59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州（市）</w:t>
            </w:r>
          </w:p>
        </w:tc>
        <w:tc>
          <w:tcPr>
            <w:tcW w:w="1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DC463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县（市、区）</w:t>
            </w:r>
          </w:p>
        </w:tc>
        <w:tc>
          <w:tcPr>
            <w:tcW w:w="12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D81E9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合计</w:t>
            </w:r>
            <w:r>
              <w:rPr>
                <w:rFonts w:hint="default" w:ascii="Times New Roman" w:hAnsi="Times New Roman" w:eastAsia="方正仿宋_GBK" w:cs="Times New Roman"/>
                <w:b/>
                <w:bCs/>
                <w:i w:val="0"/>
                <w:iCs w:val="0"/>
                <w:color w:val="000000"/>
                <w:kern w:val="0"/>
                <w:sz w:val="24"/>
                <w:szCs w:val="24"/>
                <w:u w:val="none"/>
                <w:lang w:val="en-US" w:eastAsia="zh-CN" w:bidi="ar"/>
              </w:rPr>
              <w:br w:type="textWrapping"/>
            </w:r>
            <w:r>
              <w:rPr>
                <w:rFonts w:hint="default" w:ascii="Times New Roman" w:hAnsi="Times New Roman" w:eastAsia="方正仿宋_GBK" w:cs="Times New Roman"/>
                <w:b/>
                <w:bCs/>
                <w:i w:val="0"/>
                <w:iCs w:val="0"/>
                <w:color w:val="000000"/>
                <w:kern w:val="0"/>
                <w:sz w:val="24"/>
                <w:szCs w:val="24"/>
                <w:u w:val="none"/>
                <w:lang w:val="en-US" w:eastAsia="zh-CN" w:bidi="ar"/>
              </w:rPr>
              <w:t>（万元）</w:t>
            </w:r>
          </w:p>
        </w:tc>
        <w:tc>
          <w:tcPr>
            <w:tcW w:w="605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ADFB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下达资金（万元）</w:t>
            </w:r>
          </w:p>
        </w:tc>
        <w:tc>
          <w:tcPr>
            <w:tcW w:w="26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641E0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项目村</w:t>
            </w:r>
          </w:p>
        </w:tc>
      </w:tr>
      <w:tr w14:paraId="24C07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69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762A5">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b/>
                <w:bCs/>
                <w:i w:val="0"/>
                <w:iCs w:val="0"/>
                <w:color w:val="000000"/>
                <w:sz w:val="24"/>
                <w:szCs w:val="24"/>
                <w:u w:val="none"/>
              </w:rPr>
            </w:pPr>
          </w:p>
        </w:tc>
        <w:tc>
          <w:tcPr>
            <w:tcW w:w="1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FBF38C">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b/>
                <w:bCs/>
                <w:i w:val="0"/>
                <w:iCs w:val="0"/>
                <w:color w:val="000000"/>
                <w:sz w:val="24"/>
                <w:szCs w:val="24"/>
                <w:u w:val="none"/>
              </w:rPr>
            </w:pPr>
          </w:p>
        </w:tc>
        <w:tc>
          <w:tcPr>
            <w:tcW w:w="1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AFEA36">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b/>
                <w:bCs/>
                <w:i w:val="0"/>
                <w:iCs w:val="0"/>
                <w:color w:val="000000"/>
                <w:sz w:val="24"/>
                <w:szCs w:val="24"/>
                <w:u w:val="none"/>
              </w:rPr>
            </w:pPr>
          </w:p>
        </w:tc>
        <w:tc>
          <w:tcPr>
            <w:tcW w:w="12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E50BD7">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b/>
                <w:bCs/>
                <w:i w:val="0"/>
                <w:iCs w:val="0"/>
                <w:color w:val="000000"/>
                <w:sz w:val="24"/>
                <w:szCs w:val="24"/>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1AD8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省级财政衔接推进乡村振兴补助资金</w:t>
            </w:r>
          </w:p>
        </w:tc>
        <w:tc>
          <w:tcPr>
            <w:tcW w:w="436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B592A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省级农村综合改革转移支付资金</w:t>
            </w:r>
          </w:p>
        </w:tc>
        <w:tc>
          <w:tcPr>
            <w:tcW w:w="2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F8BB23">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b/>
                <w:bCs/>
                <w:i w:val="0"/>
                <w:iCs w:val="0"/>
                <w:color w:val="000000"/>
                <w:sz w:val="24"/>
                <w:szCs w:val="24"/>
                <w:u w:val="none"/>
              </w:rPr>
            </w:pPr>
          </w:p>
        </w:tc>
      </w:tr>
      <w:tr w14:paraId="524ED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69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561CA">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b/>
                <w:bCs/>
                <w:i w:val="0"/>
                <w:iCs w:val="0"/>
                <w:color w:val="000000"/>
                <w:sz w:val="24"/>
                <w:szCs w:val="24"/>
                <w:u w:val="none"/>
              </w:rPr>
            </w:pPr>
          </w:p>
        </w:tc>
        <w:tc>
          <w:tcPr>
            <w:tcW w:w="1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6BD46F">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b/>
                <w:bCs/>
                <w:i w:val="0"/>
                <w:iCs w:val="0"/>
                <w:color w:val="000000"/>
                <w:sz w:val="24"/>
                <w:szCs w:val="24"/>
                <w:u w:val="none"/>
              </w:rPr>
            </w:pPr>
          </w:p>
        </w:tc>
        <w:tc>
          <w:tcPr>
            <w:tcW w:w="1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9DC916">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b/>
                <w:bCs/>
                <w:i w:val="0"/>
                <w:iCs w:val="0"/>
                <w:color w:val="000000"/>
                <w:sz w:val="24"/>
                <w:szCs w:val="24"/>
                <w:u w:val="none"/>
              </w:rPr>
            </w:pPr>
          </w:p>
        </w:tc>
        <w:tc>
          <w:tcPr>
            <w:tcW w:w="12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DB8E39">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b/>
                <w:bCs/>
                <w:i w:val="0"/>
                <w:iCs w:val="0"/>
                <w:color w:val="000000"/>
                <w:sz w:val="24"/>
                <w:szCs w:val="24"/>
                <w:u w:val="none"/>
              </w:rPr>
            </w:pPr>
          </w:p>
        </w:tc>
        <w:tc>
          <w:tcPr>
            <w:tcW w:w="16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4E58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发展集体经济</w:t>
            </w: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4C16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小计</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56FF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改善人居环境</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08DB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建强基层组织、提高治理水平</w:t>
            </w:r>
          </w:p>
        </w:tc>
        <w:tc>
          <w:tcPr>
            <w:tcW w:w="26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DF677C">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b/>
                <w:bCs/>
                <w:i w:val="0"/>
                <w:iCs w:val="0"/>
                <w:color w:val="000000"/>
                <w:sz w:val="24"/>
                <w:szCs w:val="24"/>
                <w:u w:val="none"/>
              </w:rPr>
            </w:pPr>
          </w:p>
        </w:tc>
      </w:tr>
      <w:tr w14:paraId="4BCAFA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73CD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w:t>
            </w:r>
          </w:p>
        </w:tc>
        <w:tc>
          <w:tcPr>
            <w:tcW w:w="146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0FDB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玉溪市</w:t>
            </w:r>
          </w:p>
        </w:tc>
        <w:tc>
          <w:tcPr>
            <w:tcW w:w="1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9FDD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小计</w:t>
            </w:r>
          </w:p>
        </w:tc>
        <w:tc>
          <w:tcPr>
            <w:tcW w:w="12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449C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497</w:t>
            </w: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CA8A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350</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3AFC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147</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3758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131</w:t>
            </w:r>
          </w:p>
        </w:tc>
        <w:tc>
          <w:tcPr>
            <w:tcW w:w="1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67DC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16</w:t>
            </w:r>
          </w:p>
        </w:tc>
        <w:tc>
          <w:tcPr>
            <w:tcW w:w="26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958D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w:t>
            </w:r>
          </w:p>
        </w:tc>
      </w:tr>
      <w:tr w14:paraId="60C3BE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67CA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w:t>
            </w:r>
          </w:p>
        </w:tc>
        <w:tc>
          <w:tcPr>
            <w:tcW w:w="146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568AB">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b/>
                <w:bCs/>
                <w:i w:val="0"/>
                <w:iCs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93DD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峨山县</w:t>
            </w:r>
          </w:p>
        </w:tc>
        <w:tc>
          <w:tcPr>
            <w:tcW w:w="12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DF7C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497</w:t>
            </w:r>
          </w:p>
        </w:tc>
        <w:tc>
          <w:tcPr>
            <w:tcW w:w="1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E8AA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350</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1251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147</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2C51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131</w:t>
            </w:r>
          </w:p>
        </w:tc>
        <w:tc>
          <w:tcPr>
            <w:tcW w:w="1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55F1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16</w:t>
            </w:r>
          </w:p>
        </w:tc>
        <w:tc>
          <w:tcPr>
            <w:tcW w:w="26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8D13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小街街道文明社区</w:t>
            </w:r>
          </w:p>
        </w:tc>
      </w:tr>
    </w:tbl>
    <w:p w14:paraId="1A2BE43F">
      <w:pPr>
        <w:pStyle w:val="2"/>
        <w:ind w:left="0" w:leftChars="0" w:firstLine="0" w:firstLineChars="0"/>
        <w:rPr>
          <w:rFonts w:hint="eastAsia"/>
          <w:lang w:val="en-US" w:eastAsia="zh-CN"/>
        </w:rPr>
      </w:pPr>
    </w:p>
    <w:p w14:paraId="65839A3E">
      <w:pPr>
        <w:pStyle w:val="2"/>
        <w:ind w:left="0" w:leftChars="0" w:firstLine="0" w:firstLineChars="0"/>
        <w:rPr>
          <w:rFonts w:hint="eastAsia"/>
          <w:lang w:val="en-US" w:eastAsia="zh-CN"/>
        </w:rPr>
      </w:pPr>
    </w:p>
    <w:p w14:paraId="24200834">
      <w:pPr>
        <w:pStyle w:val="2"/>
        <w:ind w:left="0" w:leftChars="0" w:firstLine="0" w:firstLineChars="0"/>
        <w:rPr>
          <w:rFonts w:hint="eastAsia"/>
          <w:lang w:val="en-US" w:eastAsia="zh-CN"/>
        </w:rPr>
      </w:pPr>
    </w:p>
    <w:p w14:paraId="76E1A0B3">
      <w:pPr>
        <w:pStyle w:val="2"/>
        <w:ind w:left="0" w:leftChars="0" w:firstLine="0" w:firstLineChars="0"/>
        <w:rPr>
          <w:rFonts w:hint="eastAsia"/>
          <w:lang w:val="en-US" w:eastAsia="zh-CN"/>
        </w:rPr>
      </w:pPr>
    </w:p>
    <w:p w14:paraId="2663119E">
      <w:pPr>
        <w:pStyle w:val="2"/>
        <w:ind w:left="0" w:leftChars="0" w:firstLine="0" w:firstLineChars="0"/>
        <w:rPr>
          <w:rFonts w:hint="eastAsia"/>
          <w:lang w:val="en-US" w:eastAsia="zh-CN"/>
        </w:rPr>
        <w:sectPr>
          <w:pgSz w:w="16838" w:h="11906" w:orient="landscape"/>
          <w:pgMar w:top="1587" w:right="2041" w:bottom="1474" w:left="1304" w:header="851" w:footer="992" w:gutter="0"/>
          <w:pgNumType w:fmt="decimal"/>
          <w:cols w:space="0" w:num="1"/>
          <w:docGrid w:type="linesAndChars" w:linePitch="312" w:charSpace="0"/>
        </w:sectPr>
      </w:pPr>
    </w:p>
    <w:p w14:paraId="48EC850B">
      <w:pPr>
        <w:pStyle w:val="2"/>
        <w:ind w:left="0" w:leftChars="0" w:firstLine="0" w:firstLineChars="0"/>
        <w:rPr>
          <w:rFonts w:hint="default" w:ascii="Times New Roman" w:hAnsi="Times New Roman" w:cs="Times New Roman"/>
          <w:lang w:val="en-US" w:eastAsia="zh-CN"/>
        </w:rPr>
      </w:pPr>
      <w:r>
        <w:rPr>
          <w:rFonts w:hint="default" w:ascii="Times New Roman" w:hAnsi="Times New Roman" w:eastAsia="方正黑体_GBK" w:cs="Times New Roman"/>
          <w:lang w:val="en-US" w:eastAsia="zh-CN"/>
        </w:rPr>
        <w:t>附件2</w:t>
      </w:r>
    </w:p>
    <w:tbl>
      <w:tblPr>
        <w:tblStyle w:val="5"/>
        <w:tblW w:w="888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28"/>
        <w:gridCol w:w="674"/>
        <w:gridCol w:w="364"/>
        <w:gridCol w:w="1079"/>
        <w:gridCol w:w="4261"/>
        <w:gridCol w:w="1980"/>
      </w:tblGrid>
      <w:tr w14:paraId="7DB9C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886" w:type="dxa"/>
            <w:gridSpan w:val="6"/>
            <w:tcBorders>
              <w:top w:val="nil"/>
              <w:left w:val="nil"/>
              <w:bottom w:val="nil"/>
              <w:right w:val="nil"/>
            </w:tcBorders>
            <w:shd w:val="clear" w:color="auto" w:fill="auto"/>
            <w:vAlign w:val="center"/>
          </w:tcPr>
          <w:p w14:paraId="45903D97">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2025年省级财政衔接推进乡村振兴补助资金和省级</w:t>
            </w:r>
            <w:r>
              <w:rPr>
                <w:rFonts w:hint="eastAsia" w:ascii="方正小标宋简体" w:hAnsi="方正小标宋简体" w:eastAsia="方正小标宋简体" w:cs="方正小标宋简体"/>
                <w:i w:val="0"/>
                <w:iCs w:val="0"/>
                <w:color w:val="000000"/>
                <w:kern w:val="0"/>
                <w:sz w:val="36"/>
                <w:szCs w:val="36"/>
                <w:u w:val="none"/>
                <w:lang w:val="en-US" w:eastAsia="zh-CN" w:bidi="ar"/>
              </w:rPr>
              <w:br w:type="textWrapping"/>
            </w:r>
            <w:r>
              <w:rPr>
                <w:rFonts w:hint="eastAsia" w:ascii="方正小标宋简体" w:hAnsi="方正小标宋简体" w:eastAsia="方正小标宋简体" w:cs="方正小标宋简体"/>
                <w:i w:val="0"/>
                <w:iCs w:val="0"/>
                <w:color w:val="000000"/>
                <w:kern w:val="0"/>
                <w:sz w:val="36"/>
                <w:szCs w:val="36"/>
                <w:u w:val="none"/>
                <w:lang w:val="en-US" w:eastAsia="zh-CN" w:bidi="ar"/>
              </w:rPr>
              <w:t>农村综合改革转移支付资金区域绩效目标表</w:t>
            </w:r>
          </w:p>
        </w:tc>
      </w:tr>
      <w:tr w14:paraId="0D323A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15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9E3298">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Style w:val="13"/>
                <w:lang w:val="en-US" w:eastAsia="zh-CN" w:bidi="ar"/>
              </w:rPr>
              <w:t>专项名称</w:t>
            </w:r>
          </w:p>
        </w:tc>
        <w:tc>
          <w:tcPr>
            <w:tcW w:w="73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BB84A79">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4"/>
                <w:lang w:val="en-US" w:eastAsia="zh-CN" w:bidi="ar"/>
              </w:rPr>
              <w:t>抓党建促乡村振兴</w:t>
            </w:r>
            <w:r>
              <w:rPr>
                <w:rStyle w:val="15"/>
                <w:rFonts w:eastAsia="宋体"/>
                <w:lang w:val="en-US" w:eastAsia="zh-CN" w:bidi="ar"/>
              </w:rPr>
              <w:t>“</w:t>
            </w:r>
            <w:r>
              <w:rPr>
                <w:rStyle w:val="14"/>
                <w:lang w:val="en-US" w:eastAsia="zh-CN" w:bidi="ar"/>
              </w:rPr>
              <w:t>四位一体</w:t>
            </w:r>
            <w:r>
              <w:rPr>
                <w:rStyle w:val="15"/>
                <w:rFonts w:eastAsia="宋体"/>
                <w:lang w:val="en-US" w:eastAsia="zh-CN" w:bidi="ar"/>
              </w:rPr>
              <w:t>"</w:t>
            </w:r>
            <w:r>
              <w:rPr>
                <w:rStyle w:val="14"/>
                <w:lang w:val="en-US" w:eastAsia="zh-CN" w:bidi="ar"/>
              </w:rPr>
              <w:t>项目</w:t>
            </w:r>
          </w:p>
        </w:tc>
      </w:tr>
      <w:tr w14:paraId="1E3BC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7" w:hRule="atLeast"/>
        </w:trPr>
        <w:tc>
          <w:tcPr>
            <w:tcW w:w="15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3E7272">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Style w:val="13"/>
                <w:lang w:val="en-US" w:eastAsia="zh-CN" w:bidi="ar"/>
              </w:rPr>
              <w:t>市级主管部门</w:t>
            </w:r>
          </w:p>
        </w:tc>
        <w:tc>
          <w:tcPr>
            <w:tcW w:w="73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539E79">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4"/>
                <w:lang w:val="en-US" w:eastAsia="zh-CN" w:bidi="ar"/>
              </w:rPr>
              <w:t>市委组织部、市财政局、市农业农村局</w:t>
            </w:r>
          </w:p>
        </w:tc>
      </w:tr>
      <w:tr w14:paraId="16E2C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5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192A0A">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Style w:val="13"/>
                <w:lang w:val="en-US" w:eastAsia="zh-CN" w:bidi="ar"/>
              </w:rPr>
              <w:t>年度目标</w:t>
            </w:r>
          </w:p>
        </w:tc>
        <w:tc>
          <w:tcPr>
            <w:tcW w:w="73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E43280">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4"/>
                <w:lang w:val="en-US" w:eastAsia="zh-CN" w:bidi="ar"/>
              </w:rPr>
              <w:t>支持建设一批抓党建促乡村振兴</w:t>
            </w:r>
            <w:r>
              <w:rPr>
                <w:rStyle w:val="15"/>
                <w:rFonts w:eastAsia="宋体"/>
                <w:lang w:val="en-US" w:eastAsia="zh-CN" w:bidi="ar"/>
              </w:rPr>
              <w:t>“</w:t>
            </w:r>
            <w:r>
              <w:rPr>
                <w:rStyle w:val="14"/>
                <w:lang w:val="en-US" w:eastAsia="zh-CN" w:bidi="ar"/>
              </w:rPr>
              <w:t>四位一体</w:t>
            </w:r>
            <w:r>
              <w:rPr>
                <w:rStyle w:val="15"/>
                <w:rFonts w:eastAsia="宋体"/>
                <w:lang w:val="en-US" w:eastAsia="zh-CN" w:bidi="ar"/>
              </w:rPr>
              <w:t>”</w:t>
            </w:r>
            <w:r>
              <w:rPr>
                <w:rStyle w:val="14"/>
                <w:lang w:val="en-US" w:eastAsia="zh-CN" w:bidi="ar"/>
              </w:rPr>
              <w:t>项目，推进项目村建强基层组织、发展集体经济、改善人居环境、提高乡村治理水平。</w:t>
            </w:r>
          </w:p>
        </w:tc>
      </w:tr>
      <w:tr w14:paraId="43269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28"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3A1506E">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Style w:val="13"/>
                <w:lang w:val="en-US" w:eastAsia="zh-CN" w:bidi="ar"/>
              </w:rPr>
              <w:t>绩效指标</w:t>
            </w:r>
          </w:p>
        </w:tc>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905ED">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Style w:val="13"/>
                <w:lang w:val="en-US" w:eastAsia="zh-CN" w:bidi="ar"/>
              </w:rPr>
              <w:t>一级指标</w:t>
            </w:r>
          </w:p>
        </w:tc>
        <w:tc>
          <w:tcPr>
            <w:tcW w:w="14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88FCFB">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Style w:val="13"/>
                <w:lang w:val="en-US" w:eastAsia="zh-CN" w:bidi="ar"/>
              </w:rPr>
              <w:t>二级指标</w:t>
            </w:r>
          </w:p>
        </w:tc>
        <w:tc>
          <w:tcPr>
            <w:tcW w:w="4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D8F18">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Style w:val="13"/>
                <w:lang w:val="en-US" w:eastAsia="zh-CN" w:bidi="ar"/>
              </w:rPr>
              <w:t>三级指标</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9B06C">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Style w:val="16"/>
                <w:rFonts w:ascii="宋体" w:hAnsi="宋体" w:eastAsia="宋体" w:cs="宋体"/>
                <w:sz w:val="24"/>
                <w:szCs w:val="24"/>
                <w:lang w:val="en-US" w:eastAsia="zh-CN" w:bidi="ar"/>
              </w:rPr>
              <w:t>峨山县</w:t>
            </w:r>
          </w:p>
        </w:tc>
      </w:tr>
      <w:tr w14:paraId="6C9179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86F529E">
            <w:pPr>
              <w:jc w:val="center"/>
              <w:rPr>
                <w:rFonts w:hint="default" w:ascii="Times New Roman" w:hAnsi="Times New Roman" w:eastAsia="宋体" w:cs="Times New Roman"/>
                <w:b/>
                <w:bCs/>
                <w:i w:val="0"/>
                <w:iCs w:val="0"/>
                <w:color w:val="000000"/>
                <w:sz w:val="20"/>
                <w:szCs w:val="20"/>
                <w:u w:val="none"/>
              </w:rPr>
            </w:pPr>
          </w:p>
        </w:tc>
        <w:tc>
          <w:tcPr>
            <w:tcW w:w="674"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FED0391">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Style w:val="13"/>
                <w:lang w:val="en-US" w:eastAsia="zh-CN" w:bidi="ar"/>
              </w:rPr>
              <w:t>产出指标</w:t>
            </w:r>
          </w:p>
        </w:tc>
        <w:tc>
          <w:tcPr>
            <w:tcW w:w="14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780C8F">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4"/>
                <w:lang w:val="en-US" w:eastAsia="zh-CN" w:bidi="ar"/>
              </w:rPr>
              <w:t>数量指标</w:t>
            </w:r>
          </w:p>
        </w:tc>
        <w:tc>
          <w:tcPr>
            <w:tcW w:w="4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5BC47">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7"/>
                <w:lang w:val="en-US" w:eastAsia="zh-CN" w:bidi="ar"/>
              </w:rPr>
              <w:t>建设抓党建促乡村振兴</w:t>
            </w:r>
            <w:r>
              <w:rPr>
                <w:rStyle w:val="18"/>
                <w:rFonts w:eastAsia="宋体"/>
                <w:lang w:val="en-US" w:eastAsia="zh-CN" w:bidi="ar"/>
              </w:rPr>
              <w:t>“</w:t>
            </w:r>
            <w:r>
              <w:rPr>
                <w:rStyle w:val="17"/>
                <w:lang w:val="en-US" w:eastAsia="zh-CN" w:bidi="ar"/>
              </w:rPr>
              <w:t>四位一体</w:t>
            </w:r>
            <w:r>
              <w:rPr>
                <w:rStyle w:val="18"/>
                <w:rFonts w:eastAsia="宋体"/>
                <w:lang w:val="en-US" w:eastAsia="zh-CN" w:bidi="ar"/>
              </w:rPr>
              <w:t>”</w:t>
            </w:r>
            <w:r>
              <w:rPr>
                <w:rStyle w:val="17"/>
                <w:lang w:val="en-US" w:eastAsia="zh-CN" w:bidi="ar"/>
              </w:rPr>
              <w:t>项目个数</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71062">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w:t>
            </w:r>
          </w:p>
        </w:tc>
      </w:tr>
      <w:tr w14:paraId="77453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08BF19B">
            <w:pPr>
              <w:jc w:val="center"/>
              <w:rPr>
                <w:rFonts w:hint="default" w:ascii="Times New Roman" w:hAnsi="Times New Roman" w:eastAsia="宋体" w:cs="Times New Roman"/>
                <w:b/>
                <w:bCs/>
                <w:i w:val="0"/>
                <w:iCs w:val="0"/>
                <w:color w:val="000000"/>
                <w:sz w:val="20"/>
                <w:szCs w:val="20"/>
                <w:u w:val="none"/>
              </w:rPr>
            </w:pPr>
          </w:p>
        </w:tc>
        <w:tc>
          <w:tcPr>
            <w:tcW w:w="67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39E37F0">
            <w:pPr>
              <w:jc w:val="center"/>
              <w:rPr>
                <w:rFonts w:hint="default" w:ascii="Times New Roman" w:hAnsi="Times New Roman" w:eastAsia="宋体" w:cs="Times New Roman"/>
                <w:b/>
                <w:bCs/>
                <w:i w:val="0"/>
                <w:iCs w:val="0"/>
                <w:color w:val="000000"/>
                <w:sz w:val="20"/>
                <w:szCs w:val="20"/>
                <w:u w:val="none"/>
              </w:rPr>
            </w:pPr>
          </w:p>
        </w:tc>
        <w:tc>
          <w:tcPr>
            <w:tcW w:w="144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0D4785">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9"/>
                <w:lang w:val="en-US" w:eastAsia="zh-CN" w:bidi="ar"/>
              </w:rPr>
              <w:t>质量指标</w:t>
            </w:r>
          </w:p>
        </w:tc>
        <w:tc>
          <w:tcPr>
            <w:tcW w:w="4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B9C34">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7"/>
                <w:lang w:val="en-US" w:eastAsia="zh-CN" w:bidi="ar"/>
              </w:rPr>
              <w:t>是否建立健全抓党建促乡村振兴</w:t>
            </w:r>
            <w:r>
              <w:rPr>
                <w:rStyle w:val="18"/>
                <w:rFonts w:eastAsia="宋体"/>
                <w:lang w:val="en-US" w:eastAsia="zh-CN" w:bidi="ar"/>
              </w:rPr>
              <w:t>“</w:t>
            </w:r>
            <w:r>
              <w:rPr>
                <w:rStyle w:val="17"/>
                <w:lang w:val="en-US" w:eastAsia="zh-CN" w:bidi="ar"/>
              </w:rPr>
              <w:t>四位一体</w:t>
            </w:r>
            <w:r>
              <w:rPr>
                <w:rStyle w:val="18"/>
                <w:rFonts w:eastAsia="宋体"/>
                <w:lang w:val="en-US" w:eastAsia="zh-CN" w:bidi="ar"/>
              </w:rPr>
              <w:t>”</w:t>
            </w:r>
            <w:r>
              <w:rPr>
                <w:rStyle w:val="17"/>
                <w:lang w:val="en-US" w:eastAsia="zh-CN" w:bidi="ar"/>
              </w:rPr>
              <w:t>项目等台账</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B97CA">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9"/>
                <w:lang w:val="en-US" w:eastAsia="zh-CN" w:bidi="ar"/>
              </w:rPr>
              <w:t>是</w:t>
            </w:r>
          </w:p>
        </w:tc>
      </w:tr>
      <w:tr w14:paraId="4C1F4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CC53AAF">
            <w:pPr>
              <w:jc w:val="center"/>
              <w:rPr>
                <w:rFonts w:hint="default" w:ascii="Times New Roman" w:hAnsi="Times New Roman" w:eastAsia="宋体" w:cs="Times New Roman"/>
                <w:b/>
                <w:bCs/>
                <w:i w:val="0"/>
                <w:iCs w:val="0"/>
                <w:color w:val="000000"/>
                <w:sz w:val="20"/>
                <w:szCs w:val="20"/>
                <w:u w:val="none"/>
              </w:rPr>
            </w:pPr>
          </w:p>
        </w:tc>
        <w:tc>
          <w:tcPr>
            <w:tcW w:w="67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7F4E8C7">
            <w:pPr>
              <w:jc w:val="center"/>
              <w:rPr>
                <w:rFonts w:hint="default" w:ascii="Times New Roman" w:hAnsi="Times New Roman" w:eastAsia="宋体" w:cs="Times New Roman"/>
                <w:b/>
                <w:bCs/>
                <w:i w:val="0"/>
                <w:iCs w:val="0"/>
                <w:color w:val="000000"/>
                <w:sz w:val="20"/>
                <w:szCs w:val="20"/>
                <w:u w:val="none"/>
              </w:rPr>
            </w:pPr>
          </w:p>
        </w:tc>
        <w:tc>
          <w:tcPr>
            <w:tcW w:w="14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7C3A1E">
            <w:pPr>
              <w:jc w:val="center"/>
              <w:rPr>
                <w:rFonts w:hint="default" w:ascii="Times New Roman" w:hAnsi="Times New Roman" w:eastAsia="宋体" w:cs="Times New Roman"/>
                <w:i w:val="0"/>
                <w:iCs w:val="0"/>
                <w:color w:val="000000"/>
                <w:sz w:val="20"/>
                <w:szCs w:val="20"/>
                <w:u w:val="none"/>
              </w:rPr>
            </w:pPr>
          </w:p>
        </w:tc>
        <w:tc>
          <w:tcPr>
            <w:tcW w:w="4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9F536">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7"/>
                <w:lang w:val="en-US" w:eastAsia="zh-CN" w:bidi="ar"/>
              </w:rPr>
              <w:t>抓党建促乡村振兴</w:t>
            </w:r>
            <w:r>
              <w:rPr>
                <w:rStyle w:val="18"/>
                <w:rFonts w:eastAsia="宋体"/>
                <w:lang w:val="en-US" w:eastAsia="zh-CN" w:bidi="ar"/>
              </w:rPr>
              <w:t>“</w:t>
            </w:r>
            <w:r>
              <w:rPr>
                <w:rStyle w:val="17"/>
                <w:lang w:val="en-US" w:eastAsia="zh-CN" w:bidi="ar"/>
              </w:rPr>
              <w:t>四位一体</w:t>
            </w:r>
            <w:r>
              <w:rPr>
                <w:rStyle w:val="18"/>
                <w:rFonts w:eastAsia="宋体"/>
                <w:lang w:val="en-US" w:eastAsia="zh-CN" w:bidi="ar"/>
              </w:rPr>
              <w:t>”</w:t>
            </w:r>
            <w:r>
              <w:rPr>
                <w:rStyle w:val="17"/>
                <w:lang w:val="en-US" w:eastAsia="zh-CN" w:bidi="ar"/>
              </w:rPr>
              <w:t>项目工程验收合格率</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51E0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100%</w:t>
            </w:r>
          </w:p>
        </w:tc>
      </w:tr>
      <w:tr w14:paraId="770783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C1CF99F">
            <w:pPr>
              <w:jc w:val="center"/>
              <w:rPr>
                <w:rFonts w:hint="default" w:ascii="Times New Roman" w:hAnsi="Times New Roman" w:eastAsia="宋体" w:cs="Times New Roman"/>
                <w:b/>
                <w:bCs/>
                <w:i w:val="0"/>
                <w:iCs w:val="0"/>
                <w:color w:val="000000"/>
                <w:sz w:val="20"/>
                <w:szCs w:val="20"/>
                <w:u w:val="none"/>
              </w:rPr>
            </w:pPr>
          </w:p>
        </w:tc>
        <w:tc>
          <w:tcPr>
            <w:tcW w:w="67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5AA5637">
            <w:pPr>
              <w:jc w:val="center"/>
              <w:rPr>
                <w:rFonts w:hint="default" w:ascii="Times New Roman" w:hAnsi="Times New Roman" w:eastAsia="宋体" w:cs="Times New Roman"/>
                <w:b/>
                <w:bCs/>
                <w:i w:val="0"/>
                <w:iCs w:val="0"/>
                <w:color w:val="000000"/>
                <w:sz w:val="20"/>
                <w:szCs w:val="20"/>
                <w:u w:val="none"/>
              </w:rPr>
            </w:pPr>
          </w:p>
        </w:tc>
        <w:tc>
          <w:tcPr>
            <w:tcW w:w="144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2CC16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9"/>
                <w:lang w:val="en-US" w:eastAsia="zh-CN" w:bidi="ar"/>
              </w:rPr>
              <w:t>时效指标</w:t>
            </w:r>
          </w:p>
        </w:tc>
        <w:tc>
          <w:tcPr>
            <w:tcW w:w="4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54230">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7"/>
                <w:lang w:val="en-US" w:eastAsia="zh-CN" w:bidi="ar"/>
              </w:rPr>
              <w:t>抓党建促乡村振兴</w:t>
            </w:r>
            <w:r>
              <w:rPr>
                <w:rStyle w:val="18"/>
                <w:rFonts w:eastAsia="宋体"/>
                <w:lang w:val="en-US" w:eastAsia="zh-CN" w:bidi="ar"/>
              </w:rPr>
              <w:t>“</w:t>
            </w:r>
            <w:r>
              <w:rPr>
                <w:rStyle w:val="17"/>
                <w:lang w:val="en-US" w:eastAsia="zh-CN" w:bidi="ar"/>
              </w:rPr>
              <w:t>四位一体</w:t>
            </w:r>
            <w:r>
              <w:rPr>
                <w:rStyle w:val="18"/>
                <w:rFonts w:eastAsia="宋体"/>
                <w:lang w:val="en-US" w:eastAsia="zh-CN" w:bidi="ar"/>
              </w:rPr>
              <w:t>”</w:t>
            </w:r>
            <w:r>
              <w:rPr>
                <w:rStyle w:val="17"/>
                <w:lang w:val="en-US" w:eastAsia="zh-CN" w:bidi="ar"/>
              </w:rPr>
              <w:t>项目材料报送及时性</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4C73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9"/>
                <w:lang w:val="en-US" w:eastAsia="zh-CN" w:bidi="ar"/>
              </w:rPr>
              <w:t>及时报送</w:t>
            </w:r>
          </w:p>
        </w:tc>
      </w:tr>
      <w:tr w14:paraId="0D62B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E742FF2">
            <w:pPr>
              <w:jc w:val="center"/>
              <w:rPr>
                <w:rFonts w:hint="default" w:ascii="Times New Roman" w:hAnsi="Times New Roman" w:eastAsia="宋体" w:cs="Times New Roman"/>
                <w:b/>
                <w:bCs/>
                <w:i w:val="0"/>
                <w:iCs w:val="0"/>
                <w:color w:val="000000"/>
                <w:sz w:val="20"/>
                <w:szCs w:val="20"/>
                <w:u w:val="none"/>
              </w:rPr>
            </w:pPr>
          </w:p>
        </w:tc>
        <w:tc>
          <w:tcPr>
            <w:tcW w:w="67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5ADFA52">
            <w:pPr>
              <w:jc w:val="center"/>
              <w:rPr>
                <w:rFonts w:hint="default" w:ascii="Times New Roman" w:hAnsi="Times New Roman" w:eastAsia="宋体" w:cs="Times New Roman"/>
                <w:b/>
                <w:bCs/>
                <w:i w:val="0"/>
                <w:iCs w:val="0"/>
                <w:color w:val="000000"/>
                <w:sz w:val="20"/>
                <w:szCs w:val="20"/>
                <w:u w:val="none"/>
              </w:rPr>
            </w:pPr>
          </w:p>
        </w:tc>
        <w:tc>
          <w:tcPr>
            <w:tcW w:w="14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4DB043">
            <w:pPr>
              <w:jc w:val="center"/>
              <w:rPr>
                <w:rFonts w:hint="default" w:ascii="Times New Roman" w:hAnsi="Times New Roman" w:eastAsia="宋体" w:cs="Times New Roman"/>
                <w:i w:val="0"/>
                <w:iCs w:val="0"/>
                <w:color w:val="000000"/>
                <w:sz w:val="20"/>
                <w:szCs w:val="20"/>
                <w:u w:val="none"/>
              </w:rPr>
            </w:pPr>
          </w:p>
        </w:tc>
        <w:tc>
          <w:tcPr>
            <w:tcW w:w="4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6AD8A">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7"/>
                <w:lang w:val="en-US" w:eastAsia="zh-CN" w:bidi="ar"/>
              </w:rPr>
              <w:t>截至</w:t>
            </w:r>
            <w:r>
              <w:rPr>
                <w:rStyle w:val="18"/>
                <w:rFonts w:eastAsia="宋体"/>
                <w:lang w:val="en-US" w:eastAsia="zh-CN" w:bidi="ar"/>
              </w:rPr>
              <w:t>2025</w:t>
            </w:r>
            <w:r>
              <w:rPr>
                <w:rStyle w:val="17"/>
                <w:lang w:val="en-US" w:eastAsia="zh-CN" w:bidi="ar"/>
              </w:rPr>
              <w:t>年底，抓党建促乡村振兴</w:t>
            </w:r>
            <w:r>
              <w:rPr>
                <w:rStyle w:val="18"/>
                <w:rFonts w:eastAsia="宋体"/>
                <w:lang w:val="en-US" w:eastAsia="zh-CN" w:bidi="ar"/>
              </w:rPr>
              <w:t>“</w:t>
            </w:r>
            <w:r>
              <w:rPr>
                <w:rStyle w:val="17"/>
                <w:lang w:val="en-US" w:eastAsia="zh-CN" w:bidi="ar"/>
              </w:rPr>
              <w:t>四位一体</w:t>
            </w:r>
            <w:r>
              <w:rPr>
                <w:rStyle w:val="18"/>
                <w:rFonts w:eastAsia="宋体"/>
                <w:lang w:val="en-US" w:eastAsia="zh-CN" w:bidi="ar"/>
              </w:rPr>
              <w:t>”</w:t>
            </w:r>
            <w:r>
              <w:rPr>
                <w:rStyle w:val="17"/>
                <w:lang w:val="en-US" w:eastAsia="zh-CN" w:bidi="ar"/>
              </w:rPr>
              <w:t>项目建设</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ECBA0">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9"/>
                <w:lang w:val="en-US" w:eastAsia="zh-CN" w:bidi="ar"/>
              </w:rPr>
              <w:t>全面完成</w:t>
            </w:r>
          </w:p>
        </w:tc>
      </w:tr>
      <w:tr w14:paraId="72C786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44EB47F">
            <w:pPr>
              <w:jc w:val="center"/>
              <w:rPr>
                <w:rFonts w:hint="default" w:ascii="Times New Roman" w:hAnsi="Times New Roman" w:eastAsia="宋体" w:cs="Times New Roman"/>
                <w:b/>
                <w:bCs/>
                <w:i w:val="0"/>
                <w:iCs w:val="0"/>
                <w:color w:val="000000"/>
                <w:sz w:val="20"/>
                <w:szCs w:val="20"/>
                <w:u w:val="none"/>
              </w:rPr>
            </w:pPr>
          </w:p>
        </w:tc>
        <w:tc>
          <w:tcPr>
            <w:tcW w:w="67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F5100FD">
            <w:pPr>
              <w:jc w:val="center"/>
              <w:rPr>
                <w:rFonts w:hint="default" w:ascii="Times New Roman" w:hAnsi="Times New Roman" w:eastAsia="宋体" w:cs="Times New Roman"/>
                <w:b/>
                <w:bCs/>
                <w:i w:val="0"/>
                <w:iCs w:val="0"/>
                <w:color w:val="000000"/>
                <w:sz w:val="20"/>
                <w:szCs w:val="20"/>
                <w:u w:val="none"/>
              </w:rPr>
            </w:pPr>
          </w:p>
        </w:tc>
        <w:tc>
          <w:tcPr>
            <w:tcW w:w="14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189BB4">
            <w:pPr>
              <w:jc w:val="center"/>
              <w:rPr>
                <w:rFonts w:hint="default" w:ascii="Times New Roman" w:hAnsi="Times New Roman" w:eastAsia="宋体" w:cs="Times New Roman"/>
                <w:i w:val="0"/>
                <w:iCs w:val="0"/>
                <w:color w:val="000000"/>
                <w:sz w:val="20"/>
                <w:szCs w:val="20"/>
                <w:u w:val="none"/>
              </w:rPr>
            </w:pPr>
          </w:p>
        </w:tc>
        <w:tc>
          <w:tcPr>
            <w:tcW w:w="4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5FF40">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7"/>
                <w:lang w:val="en-US" w:eastAsia="zh-CN" w:bidi="ar"/>
              </w:rPr>
              <w:t>截至</w:t>
            </w:r>
            <w:r>
              <w:rPr>
                <w:rStyle w:val="18"/>
                <w:rFonts w:eastAsia="宋体"/>
                <w:lang w:val="en-US" w:eastAsia="zh-CN" w:bidi="ar"/>
              </w:rPr>
              <w:t>2025</w:t>
            </w:r>
            <w:r>
              <w:rPr>
                <w:rStyle w:val="17"/>
                <w:lang w:val="en-US" w:eastAsia="zh-CN" w:bidi="ar"/>
              </w:rPr>
              <w:t>年底，省级农村综合改革转移支付资金和省级衔接推进乡村振兴补助资金执行率</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2BAA9">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100%</w:t>
            </w:r>
          </w:p>
        </w:tc>
      </w:tr>
      <w:tr w14:paraId="2848F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E7B92D2">
            <w:pPr>
              <w:jc w:val="center"/>
              <w:rPr>
                <w:rFonts w:hint="default" w:ascii="Times New Roman" w:hAnsi="Times New Roman" w:eastAsia="宋体" w:cs="Times New Roman"/>
                <w:b/>
                <w:bCs/>
                <w:i w:val="0"/>
                <w:iCs w:val="0"/>
                <w:color w:val="000000"/>
                <w:sz w:val="20"/>
                <w:szCs w:val="20"/>
                <w:u w:val="none"/>
              </w:rPr>
            </w:pPr>
          </w:p>
        </w:tc>
        <w:tc>
          <w:tcPr>
            <w:tcW w:w="674"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0CD0C4E">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Style w:val="13"/>
                <w:lang w:val="en-US" w:eastAsia="zh-CN" w:bidi="ar"/>
              </w:rPr>
              <w:t>效益指标</w:t>
            </w:r>
          </w:p>
        </w:tc>
        <w:tc>
          <w:tcPr>
            <w:tcW w:w="14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CEB5BF">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9"/>
                <w:lang w:val="en-US" w:eastAsia="zh-CN" w:bidi="ar"/>
              </w:rPr>
              <w:t>经济效益指标</w:t>
            </w:r>
          </w:p>
        </w:tc>
        <w:tc>
          <w:tcPr>
            <w:tcW w:w="4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01964">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lang w:val="en-US" w:eastAsia="zh-CN" w:bidi="ar"/>
              </w:rPr>
              <w:t>项目村集体经济收入</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69E03">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9"/>
                <w:lang w:val="en-US" w:eastAsia="zh-CN" w:bidi="ar"/>
              </w:rPr>
              <w:t>有所增长</w:t>
            </w:r>
          </w:p>
        </w:tc>
      </w:tr>
      <w:tr w14:paraId="387377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BA6FFD5">
            <w:pPr>
              <w:jc w:val="center"/>
              <w:rPr>
                <w:rFonts w:hint="default" w:ascii="Times New Roman" w:hAnsi="Times New Roman" w:eastAsia="宋体" w:cs="Times New Roman"/>
                <w:b/>
                <w:bCs/>
                <w:i w:val="0"/>
                <w:iCs w:val="0"/>
                <w:color w:val="000000"/>
                <w:sz w:val="20"/>
                <w:szCs w:val="20"/>
                <w:u w:val="none"/>
              </w:rPr>
            </w:pPr>
          </w:p>
        </w:tc>
        <w:tc>
          <w:tcPr>
            <w:tcW w:w="67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30F5796">
            <w:pPr>
              <w:jc w:val="center"/>
              <w:rPr>
                <w:rFonts w:hint="default" w:ascii="Times New Roman" w:hAnsi="Times New Roman" w:eastAsia="宋体" w:cs="Times New Roman"/>
                <w:b/>
                <w:bCs/>
                <w:i w:val="0"/>
                <w:iCs w:val="0"/>
                <w:color w:val="000000"/>
                <w:sz w:val="20"/>
                <w:szCs w:val="20"/>
                <w:u w:val="none"/>
              </w:rPr>
            </w:pPr>
          </w:p>
        </w:tc>
        <w:tc>
          <w:tcPr>
            <w:tcW w:w="14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B71036">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7"/>
                <w:lang w:val="en-US" w:eastAsia="zh-CN" w:bidi="ar"/>
              </w:rPr>
              <w:t>生态效益指标</w:t>
            </w:r>
          </w:p>
        </w:tc>
        <w:tc>
          <w:tcPr>
            <w:tcW w:w="4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76208">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lang w:val="en-US" w:eastAsia="zh-CN" w:bidi="ar"/>
              </w:rPr>
              <w:t>项目村农村人居环境</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3418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9"/>
                <w:lang w:val="en-US" w:eastAsia="zh-CN" w:bidi="ar"/>
              </w:rPr>
              <w:t>有所改善</w:t>
            </w:r>
          </w:p>
        </w:tc>
      </w:tr>
      <w:tr w14:paraId="2DFCB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4C68564">
            <w:pPr>
              <w:jc w:val="center"/>
              <w:rPr>
                <w:rFonts w:hint="default" w:ascii="Times New Roman" w:hAnsi="Times New Roman" w:eastAsia="宋体" w:cs="Times New Roman"/>
                <w:b/>
                <w:bCs/>
                <w:i w:val="0"/>
                <w:iCs w:val="0"/>
                <w:color w:val="000000"/>
                <w:sz w:val="20"/>
                <w:szCs w:val="20"/>
                <w:u w:val="none"/>
              </w:rPr>
            </w:pPr>
          </w:p>
        </w:tc>
        <w:tc>
          <w:tcPr>
            <w:tcW w:w="67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95226E0">
            <w:pPr>
              <w:jc w:val="center"/>
              <w:rPr>
                <w:rFonts w:hint="default" w:ascii="Times New Roman" w:hAnsi="Times New Roman" w:eastAsia="宋体" w:cs="Times New Roman"/>
                <w:b/>
                <w:bCs/>
                <w:i w:val="0"/>
                <w:iCs w:val="0"/>
                <w:color w:val="000000"/>
                <w:sz w:val="20"/>
                <w:szCs w:val="20"/>
                <w:u w:val="none"/>
              </w:rPr>
            </w:pPr>
          </w:p>
        </w:tc>
        <w:tc>
          <w:tcPr>
            <w:tcW w:w="144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A4A266">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9"/>
                <w:lang w:val="en-US" w:eastAsia="zh-CN" w:bidi="ar"/>
              </w:rPr>
              <w:t>社会效益指标</w:t>
            </w:r>
          </w:p>
        </w:tc>
        <w:tc>
          <w:tcPr>
            <w:tcW w:w="4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5CC9F">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lang w:val="en-US" w:eastAsia="zh-CN" w:bidi="ar"/>
              </w:rPr>
              <w:t>基层党组织的组织力凝聚力战斗力</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D76A5">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9"/>
                <w:lang w:val="en-US" w:eastAsia="zh-CN" w:bidi="ar"/>
              </w:rPr>
              <w:t>有所增强</w:t>
            </w:r>
          </w:p>
        </w:tc>
      </w:tr>
      <w:tr w14:paraId="2F191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996ED82">
            <w:pPr>
              <w:jc w:val="center"/>
              <w:rPr>
                <w:rFonts w:hint="default" w:ascii="Times New Roman" w:hAnsi="Times New Roman" w:eastAsia="宋体" w:cs="Times New Roman"/>
                <w:b/>
                <w:bCs/>
                <w:i w:val="0"/>
                <w:iCs w:val="0"/>
                <w:color w:val="000000"/>
                <w:sz w:val="20"/>
                <w:szCs w:val="20"/>
                <w:u w:val="none"/>
              </w:rPr>
            </w:pPr>
          </w:p>
        </w:tc>
        <w:tc>
          <w:tcPr>
            <w:tcW w:w="67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83668DF">
            <w:pPr>
              <w:jc w:val="center"/>
              <w:rPr>
                <w:rFonts w:hint="default" w:ascii="Times New Roman" w:hAnsi="Times New Roman" w:eastAsia="宋体" w:cs="Times New Roman"/>
                <w:b/>
                <w:bCs/>
                <w:i w:val="0"/>
                <w:iCs w:val="0"/>
                <w:color w:val="000000"/>
                <w:sz w:val="20"/>
                <w:szCs w:val="20"/>
                <w:u w:val="none"/>
              </w:rPr>
            </w:pPr>
          </w:p>
        </w:tc>
        <w:tc>
          <w:tcPr>
            <w:tcW w:w="14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C0704A">
            <w:pPr>
              <w:jc w:val="center"/>
              <w:rPr>
                <w:rFonts w:hint="default" w:ascii="Times New Roman" w:hAnsi="Times New Roman" w:eastAsia="宋体" w:cs="Times New Roman"/>
                <w:i w:val="0"/>
                <w:iCs w:val="0"/>
                <w:color w:val="000000"/>
                <w:sz w:val="20"/>
                <w:szCs w:val="20"/>
                <w:u w:val="none"/>
              </w:rPr>
            </w:pPr>
          </w:p>
        </w:tc>
        <w:tc>
          <w:tcPr>
            <w:tcW w:w="4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DE81A">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7"/>
                <w:lang w:val="en-US" w:eastAsia="zh-CN" w:bidi="ar"/>
              </w:rPr>
              <w:t>项目村乡村治理能力</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9A331">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9"/>
                <w:lang w:val="en-US" w:eastAsia="zh-CN" w:bidi="ar"/>
              </w:rPr>
              <w:t>有所提升</w:t>
            </w:r>
          </w:p>
        </w:tc>
      </w:tr>
      <w:tr w14:paraId="3126E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6E21F2B">
            <w:pPr>
              <w:jc w:val="center"/>
              <w:rPr>
                <w:rFonts w:hint="default" w:ascii="Times New Roman" w:hAnsi="Times New Roman" w:eastAsia="宋体" w:cs="Times New Roman"/>
                <w:b/>
                <w:bCs/>
                <w:i w:val="0"/>
                <w:iCs w:val="0"/>
                <w:color w:val="000000"/>
                <w:sz w:val="20"/>
                <w:szCs w:val="20"/>
                <w:u w:val="none"/>
              </w:rPr>
            </w:pPr>
          </w:p>
        </w:tc>
        <w:tc>
          <w:tcPr>
            <w:tcW w:w="6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D91C69">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Style w:val="13"/>
                <w:lang w:val="en-US" w:eastAsia="zh-CN" w:bidi="ar"/>
              </w:rPr>
              <w:t>满意度指标</w:t>
            </w:r>
          </w:p>
        </w:tc>
        <w:tc>
          <w:tcPr>
            <w:tcW w:w="144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02226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9"/>
                <w:lang w:val="en-US" w:eastAsia="zh-CN" w:bidi="ar"/>
              </w:rPr>
              <w:t>服务对象满意度指标</w:t>
            </w:r>
          </w:p>
        </w:tc>
        <w:tc>
          <w:tcPr>
            <w:tcW w:w="4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7C1DC">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lang w:val="en-US" w:eastAsia="zh-CN" w:bidi="ar"/>
              </w:rPr>
              <w:t>项目区农民满意度</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65455">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≥90%</w:t>
            </w:r>
          </w:p>
        </w:tc>
      </w:tr>
      <w:tr w14:paraId="7C8108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293CE26">
            <w:pPr>
              <w:jc w:val="center"/>
              <w:rPr>
                <w:rFonts w:hint="default" w:ascii="Times New Roman" w:hAnsi="Times New Roman" w:eastAsia="宋体" w:cs="Times New Roman"/>
                <w:b/>
                <w:bCs/>
                <w:i w:val="0"/>
                <w:iCs w:val="0"/>
                <w:color w:val="000000"/>
                <w:sz w:val="20"/>
                <w:szCs w:val="20"/>
                <w:u w:val="none"/>
              </w:rPr>
            </w:pPr>
          </w:p>
        </w:tc>
        <w:tc>
          <w:tcPr>
            <w:tcW w:w="6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DCCE93">
            <w:pPr>
              <w:jc w:val="center"/>
              <w:rPr>
                <w:rFonts w:hint="default" w:ascii="Times New Roman" w:hAnsi="Times New Roman" w:eastAsia="宋体" w:cs="Times New Roman"/>
                <w:b/>
                <w:bCs/>
                <w:i w:val="0"/>
                <w:iCs w:val="0"/>
                <w:color w:val="000000"/>
                <w:sz w:val="20"/>
                <w:szCs w:val="20"/>
                <w:u w:val="none"/>
              </w:rPr>
            </w:pPr>
          </w:p>
        </w:tc>
        <w:tc>
          <w:tcPr>
            <w:tcW w:w="14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4AC899">
            <w:pPr>
              <w:jc w:val="center"/>
              <w:rPr>
                <w:rFonts w:hint="default" w:ascii="Times New Roman" w:hAnsi="Times New Roman" w:eastAsia="宋体" w:cs="Times New Roman"/>
                <w:i w:val="0"/>
                <w:iCs w:val="0"/>
                <w:color w:val="000000"/>
                <w:sz w:val="20"/>
                <w:szCs w:val="20"/>
                <w:u w:val="none"/>
              </w:rPr>
            </w:pPr>
          </w:p>
        </w:tc>
        <w:tc>
          <w:tcPr>
            <w:tcW w:w="4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159F3">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19"/>
                <w:lang w:val="en-US" w:eastAsia="zh-CN" w:bidi="ar"/>
              </w:rPr>
              <w:t>项目区基层干部满意度</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D85C8">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≥90%</w:t>
            </w:r>
          </w:p>
        </w:tc>
      </w:tr>
    </w:tbl>
    <w:p w14:paraId="5479D969">
      <w:pPr>
        <w:pStyle w:val="2"/>
        <w:ind w:left="0" w:leftChars="0" w:firstLine="0" w:firstLineChars="0"/>
        <w:rPr>
          <w:rFonts w:hint="eastAsia"/>
          <w:lang w:val="en-US" w:eastAsia="zh-CN"/>
        </w:rPr>
        <w:sectPr>
          <w:pgSz w:w="11906" w:h="16838"/>
          <w:pgMar w:top="2041" w:right="1474" w:bottom="1304" w:left="1587" w:header="851" w:footer="992" w:gutter="0"/>
          <w:pgNumType w:fmt="decimal"/>
          <w:cols w:space="0" w:num="1"/>
          <w:docGrid w:type="linesAndChars" w:linePitch="312" w:charSpace="0"/>
        </w:sectPr>
      </w:pPr>
    </w:p>
    <w:p w14:paraId="07BB3B25">
      <w:pPr>
        <w:pStyle w:val="2"/>
        <w:rPr>
          <w:rFonts w:hint="eastAsia"/>
          <w:lang w:val="en-US" w:eastAsia="zh-CN"/>
        </w:rPr>
      </w:pPr>
    </w:p>
    <w:p w14:paraId="45FE702C">
      <w:pPr>
        <w:keepNext w:val="0"/>
        <w:keepLines w:val="0"/>
        <w:pageBreakBefore w:val="0"/>
        <w:widowControl w:val="0"/>
        <w:kinsoku/>
        <w:wordWrap/>
        <w:overflowPunct/>
        <w:topLinePunct w:val="0"/>
        <w:autoSpaceDE/>
        <w:autoSpaceDN/>
        <w:bidi w:val="0"/>
        <w:adjustRightInd/>
        <w:snapToGrid/>
        <w:spacing w:before="0" w:beforeLines="0" w:after="0" w:afterLines="0" w:line="590" w:lineRule="exact"/>
        <w:ind w:left="0" w:leftChars="0" w:right="0" w:rightChars="0"/>
        <w:textAlignment w:val="auto"/>
        <w:outlineLvl w:val="9"/>
        <w:rPr>
          <w:rFonts w:hint="eastAsia"/>
        </w:rPr>
      </w:pPr>
    </w:p>
    <w:p w14:paraId="5E799705">
      <w:pPr>
        <w:spacing w:line="300" w:lineRule="exact"/>
        <w:jc w:val="left"/>
        <w:rPr>
          <w:rFonts w:ascii="Times New Roman" w:hAnsi="Times New Roman" w:eastAsia="仿宋_GB2312"/>
          <w:sz w:val="28"/>
          <w:szCs w:val="28"/>
        </w:rPr>
      </w:pPr>
    </w:p>
    <w:p w14:paraId="0903777D">
      <w:pPr>
        <w:pStyle w:val="2"/>
        <w:rPr>
          <w:rFonts w:ascii="Times New Roman" w:hAnsi="Times New Roman" w:eastAsia="仿宋_GB2312"/>
          <w:sz w:val="28"/>
          <w:szCs w:val="28"/>
        </w:rPr>
      </w:pPr>
    </w:p>
    <w:p w14:paraId="2129420F">
      <w:pPr>
        <w:pStyle w:val="2"/>
        <w:rPr>
          <w:rFonts w:ascii="Times New Roman" w:hAnsi="Times New Roman" w:eastAsia="仿宋_GB2312"/>
          <w:sz w:val="28"/>
          <w:szCs w:val="28"/>
        </w:rPr>
      </w:pPr>
    </w:p>
    <w:p w14:paraId="6097D2F7">
      <w:pPr>
        <w:pStyle w:val="2"/>
        <w:rPr>
          <w:rFonts w:ascii="Times New Roman" w:hAnsi="Times New Roman" w:eastAsia="仿宋_GB2312"/>
          <w:sz w:val="28"/>
          <w:szCs w:val="28"/>
        </w:rPr>
      </w:pPr>
    </w:p>
    <w:p w14:paraId="6988C982">
      <w:pPr>
        <w:pStyle w:val="2"/>
        <w:rPr>
          <w:rFonts w:ascii="Times New Roman" w:hAnsi="Times New Roman" w:eastAsia="仿宋_GB2312"/>
          <w:sz w:val="28"/>
          <w:szCs w:val="28"/>
        </w:rPr>
      </w:pPr>
    </w:p>
    <w:p w14:paraId="784984D4">
      <w:pPr>
        <w:pStyle w:val="2"/>
        <w:rPr>
          <w:rFonts w:ascii="Times New Roman" w:hAnsi="Times New Roman" w:eastAsia="仿宋_GB2312"/>
          <w:sz w:val="28"/>
          <w:szCs w:val="28"/>
        </w:rPr>
      </w:pPr>
    </w:p>
    <w:p w14:paraId="6CACC8C6">
      <w:pPr>
        <w:pStyle w:val="2"/>
        <w:rPr>
          <w:rFonts w:ascii="Times New Roman" w:hAnsi="Times New Roman" w:eastAsia="仿宋_GB2312"/>
          <w:sz w:val="28"/>
          <w:szCs w:val="28"/>
        </w:rPr>
      </w:pPr>
    </w:p>
    <w:p w14:paraId="78E8AFB3">
      <w:pPr>
        <w:pStyle w:val="2"/>
        <w:rPr>
          <w:rFonts w:ascii="Times New Roman" w:hAnsi="Times New Roman" w:eastAsia="仿宋_GB2312"/>
          <w:sz w:val="28"/>
          <w:szCs w:val="28"/>
        </w:rPr>
      </w:pPr>
    </w:p>
    <w:p w14:paraId="3B3F5300">
      <w:pPr>
        <w:pStyle w:val="2"/>
        <w:rPr>
          <w:rFonts w:ascii="Times New Roman" w:hAnsi="Times New Roman" w:eastAsia="仿宋_GB2312"/>
          <w:sz w:val="28"/>
          <w:szCs w:val="28"/>
        </w:rPr>
      </w:pPr>
    </w:p>
    <w:p w14:paraId="0C01E279">
      <w:pPr>
        <w:pStyle w:val="2"/>
        <w:rPr>
          <w:rFonts w:ascii="Times New Roman" w:hAnsi="Times New Roman" w:eastAsia="仿宋_GB2312"/>
          <w:sz w:val="28"/>
          <w:szCs w:val="28"/>
        </w:rPr>
      </w:pPr>
    </w:p>
    <w:p w14:paraId="316893E6">
      <w:pPr>
        <w:pStyle w:val="2"/>
        <w:rPr>
          <w:rFonts w:ascii="Times New Roman" w:hAnsi="Times New Roman" w:eastAsia="仿宋_GB2312"/>
          <w:sz w:val="28"/>
          <w:szCs w:val="28"/>
        </w:rPr>
      </w:pPr>
    </w:p>
    <w:p w14:paraId="4877734F">
      <w:pPr>
        <w:pStyle w:val="2"/>
        <w:rPr>
          <w:rFonts w:ascii="Times New Roman" w:hAnsi="Times New Roman" w:eastAsia="仿宋_GB2312"/>
          <w:sz w:val="28"/>
          <w:szCs w:val="28"/>
        </w:rPr>
      </w:pPr>
    </w:p>
    <w:p w14:paraId="064BFB45">
      <w:pPr>
        <w:pStyle w:val="2"/>
        <w:ind w:left="0" w:leftChars="0" w:firstLine="0" w:firstLineChars="0"/>
        <w:rPr>
          <w:rFonts w:ascii="Times New Roman" w:hAnsi="Times New Roman" w:eastAsia="仿宋_GB2312"/>
          <w:sz w:val="28"/>
          <w:szCs w:val="28"/>
        </w:rPr>
      </w:pPr>
    </w:p>
    <w:p w14:paraId="04A63A6A">
      <w:pPr>
        <w:spacing w:line="300" w:lineRule="exact"/>
        <w:jc w:val="left"/>
        <w:rPr>
          <w:rFonts w:ascii="Times New Roman" w:hAnsi="Times New Roman" w:eastAsia="仿宋_GB2312"/>
          <w:sz w:val="28"/>
          <w:szCs w:val="28"/>
        </w:rPr>
      </w:pPr>
    </w:p>
    <w:p w14:paraId="630B484C">
      <w:pPr>
        <w:spacing w:line="300" w:lineRule="exact"/>
        <w:jc w:val="left"/>
        <w:rPr>
          <w:rFonts w:ascii="Times New Roman" w:hAnsi="Times New Roman" w:eastAsia="仿宋_GB2312"/>
          <w:sz w:val="28"/>
          <w:szCs w:val="28"/>
        </w:rPr>
      </w:pPr>
    </w:p>
    <w:p w14:paraId="28316760">
      <w:pPr>
        <w:spacing w:line="300" w:lineRule="exact"/>
        <w:jc w:val="left"/>
        <w:rPr>
          <w:rFonts w:ascii="Times New Roman" w:hAnsi="Times New Roman" w:eastAsia="仿宋_GB2312"/>
          <w:sz w:val="28"/>
          <w:szCs w:val="28"/>
        </w:rPr>
      </w:pPr>
    </w:p>
    <w:p w14:paraId="11AAFFE2">
      <w:pPr>
        <w:spacing w:line="300" w:lineRule="exact"/>
        <w:jc w:val="left"/>
        <w:rPr>
          <w:rFonts w:ascii="Times New Roman" w:hAnsi="Times New Roman" w:eastAsia="仿宋_GB2312"/>
          <w:sz w:val="28"/>
          <w:szCs w:val="28"/>
        </w:rPr>
      </w:pPr>
    </w:p>
    <w:p w14:paraId="032106A9">
      <w:pPr>
        <w:spacing w:line="300" w:lineRule="exact"/>
        <w:jc w:val="left"/>
        <w:rPr>
          <w:rFonts w:ascii="Times New Roman" w:hAnsi="Times New Roman" w:eastAsia="仿宋_GB2312"/>
          <w:sz w:val="28"/>
          <w:szCs w:val="28"/>
        </w:rPr>
      </w:pPr>
    </w:p>
    <w:p w14:paraId="1425EDB3">
      <w:pPr>
        <w:spacing w:line="300" w:lineRule="exact"/>
        <w:jc w:val="left"/>
        <w:rPr>
          <w:rFonts w:ascii="Times New Roman" w:hAnsi="Times New Roman" w:eastAsia="仿宋_GB2312"/>
          <w:sz w:val="28"/>
          <w:szCs w:val="28"/>
        </w:rPr>
      </w:pPr>
    </w:p>
    <w:p w14:paraId="538F5953">
      <w:pPr>
        <w:spacing w:line="300" w:lineRule="exact"/>
        <w:jc w:val="left"/>
        <w:rPr>
          <w:rFonts w:ascii="Times New Roman" w:hAnsi="Times New Roman" w:eastAsia="仿宋_GB2312"/>
          <w:sz w:val="28"/>
          <w:szCs w:val="28"/>
        </w:rPr>
      </w:pPr>
    </w:p>
    <w:p w14:paraId="63AACF9B">
      <w:pPr>
        <w:spacing w:line="300" w:lineRule="exact"/>
        <w:jc w:val="left"/>
        <w:rPr>
          <w:rFonts w:ascii="Times New Roman" w:hAnsi="Times New Roman" w:eastAsia="仿宋_GB2312"/>
          <w:sz w:val="28"/>
          <w:szCs w:val="28"/>
        </w:rPr>
      </w:pPr>
    </w:p>
    <w:p w14:paraId="0854B4BD">
      <w:pPr>
        <w:spacing w:line="300" w:lineRule="exact"/>
        <w:jc w:val="left"/>
        <w:rPr>
          <w:rFonts w:ascii="Times New Roman" w:hAnsi="Times New Roman" w:eastAsia="仿宋_GB2312"/>
          <w:sz w:val="28"/>
          <w:szCs w:val="28"/>
        </w:rPr>
      </w:pPr>
    </w:p>
    <w:p w14:paraId="54553292">
      <w:pPr>
        <w:spacing w:line="300" w:lineRule="exact"/>
        <w:jc w:val="left"/>
        <w:rPr>
          <w:rFonts w:ascii="Times New Roman" w:hAnsi="Times New Roman" w:eastAsia="仿宋_GB2312"/>
          <w:sz w:val="28"/>
          <w:szCs w:val="28"/>
        </w:rPr>
      </w:pPr>
    </w:p>
    <w:p w14:paraId="440B0F51">
      <w:pPr>
        <w:spacing w:line="300" w:lineRule="exact"/>
        <w:jc w:val="left"/>
        <w:rPr>
          <w:rFonts w:ascii="Times New Roman" w:hAnsi="Times New Roman" w:eastAsia="仿宋_GB2312"/>
          <w:sz w:val="28"/>
          <w:szCs w:val="28"/>
        </w:rPr>
      </w:pPr>
    </w:p>
    <w:p w14:paraId="720A2346">
      <w:pPr>
        <w:spacing w:line="500" w:lineRule="exact"/>
        <w:ind w:firstLine="280" w:firstLineChars="100"/>
        <w:jc w:val="left"/>
        <w:rPr>
          <w:rFonts w:ascii="Times New Roman" w:hAnsi="Times New Roman" w:eastAsia="方正仿宋_GBK"/>
          <w:sz w:val="32"/>
          <w:szCs w:val="32"/>
        </w:rPr>
      </w:pPr>
      <w:r>
        <w:rPr>
          <w:rFonts w:ascii="Times New Roman" w:hAnsi="Times New Roman" w:eastAsia="方正仿宋_GBK"/>
          <w:sz w:val="28"/>
          <w:szCs w:val="28"/>
        </w:rPr>
        <mc:AlternateContent>
          <mc:Choice Requires="wps">
            <w:drawing>
              <wp:anchor distT="0" distB="0" distL="114300" distR="114300" simplePos="0" relativeHeight="251662336" behindDoc="0" locked="0" layoutInCell="1" allowOverlap="1">
                <wp:simplePos x="0" y="0"/>
                <wp:positionH relativeFrom="column">
                  <wp:posOffset>43815</wp:posOffset>
                </wp:positionH>
                <wp:positionV relativeFrom="paragraph">
                  <wp:posOffset>2540</wp:posOffset>
                </wp:positionV>
                <wp:extent cx="5615940" cy="635"/>
                <wp:effectExtent l="0" t="0" r="0" b="0"/>
                <wp:wrapNone/>
                <wp:docPr id="4" name="直接连接符 4"/>
                <wp:cNvGraphicFramePr/>
                <a:graphic xmlns:a="http://schemas.openxmlformats.org/drawingml/2006/main">
                  <a:graphicData uri="http://schemas.microsoft.com/office/word/2010/wordprocessingShape">
                    <wps:wsp>
                      <wps:cNvCnPr/>
                      <wps:spPr>
                        <a:xfrm>
                          <a:off x="0" y="0"/>
                          <a:ext cx="5615940" cy="635"/>
                        </a:xfrm>
                        <a:prstGeom prst="line">
                          <a:avLst/>
                        </a:prstGeom>
                        <a:ln w="4444"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3.45pt;margin-top:0.2pt;height:0.05pt;width:442.2pt;z-index:251662336;mso-width-relative:page;mso-height-relative:page;" filled="f" stroked="t" coordsize="21600,21600" o:gfxdata="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b9SmRNMA&#10;AAADAQAADwAAAAAAAAABACAAAAAiAAAAZHJzL2Rvd25yZXYueG1sUEsBAhQAFAAAAAgAh07iQO+N&#10;N77rAQAA2gMAAA4AAAAAAAAAAQAgAAAAIgEAAGRycy9lMm9Eb2MueG1sUEsFBgAAAAAGAAYAWQEA&#10;AH8FAAAAAA==&#10;">
                <v:fill on="f" focussize="0,0"/>
                <v:stroke weight="0.34992125984252pt" color="#000000" joinstyle="round"/>
                <v:imagedata o:title=""/>
                <o:lock v:ext="edit" aspectratio="f"/>
              </v:line>
            </w:pict>
          </mc:Fallback>
        </mc:AlternateContent>
      </w:r>
      <w:r>
        <w:rPr>
          <w:rFonts w:ascii="Times New Roman" w:hAnsi="Times New Roman" w:eastAsia="方正仿宋_GBK"/>
          <w:sz w:val="28"/>
          <w:szCs w:val="28"/>
        </w:rPr>
        <w:t>抄送：</w:t>
      </w:r>
      <w:r>
        <w:rPr>
          <w:rFonts w:hint="eastAsia" w:ascii="Times New Roman" w:hAnsi="Times New Roman" w:eastAsia="方正仿宋_GBK"/>
          <w:sz w:val="28"/>
          <w:szCs w:val="28"/>
          <w:lang w:eastAsia="zh-CN"/>
        </w:rPr>
        <w:t>市委组织部，市农业农村局，</w:t>
      </w:r>
      <w:r>
        <w:rPr>
          <w:rFonts w:ascii="Times New Roman" w:hAnsi="Times New Roman" w:eastAsia="方正仿宋_GBK"/>
          <w:sz w:val="28"/>
          <w:szCs w:val="28"/>
        </w:rPr>
        <w:t>市审计局，本局预算科、国库科。</w:t>
      </w:r>
    </w:p>
    <w:p w14:paraId="34E16656">
      <w:pPr>
        <w:spacing w:line="520" w:lineRule="exact"/>
        <w:ind w:firstLine="280" w:firstLineChars="100"/>
        <w:rPr>
          <w:rFonts w:ascii="Times New Roman" w:hAnsi="Times New Roman" w:eastAsia="方正仿宋_GBK"/>
          <w:sz w:val="28"/>
          <w:szCs w:val="28"/>
        </w:rPr>
      </w:pPr>
      <w:r>
        <w:rPr>
          <w:rFonts w:ascii="Times New Roman" w:hAnsi="Times New Roman" w:eastAsia="方正仿宋_GBK"/>
          <w:sz w:val="28"/>
          <w:szCs w:val="28"/>
        </w:rPr>
        <mc:AlternateContent>
          <mc:Choice Requires="wps">
            <w:drawing>
              <wp:anchor distT="0" distB="0" distL="114300" distR="114300" simplePos="0" relativeHeight="251661312" behindDoc="0" locked="0" layoutInCell="1" allowOverlap="1">
                <wp:simplePos x="0" y="0"/>
                <wp:positionH relativeFrom="column">
                  <wp:posOffset>37465</wp:posOffset>
                </wp:positionH>
                <wp:positionV relativeFrom="paragraph">
                  <wp:posOffset>358140</wp:posOffset>
                </wp:positionV>
                <wp:extent cx="5668010" cy="0"/>
                <wp:effectExtent l="0" t="0" r="0" b="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66801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2.95pt;margin-top:28.2pt;height:0pt;width:446.3pt;z-index:251661312;mso-width-relative:page;mso-height-relative:page;" filled="f" stroked="t" coordsize="21600,21600" o:gfxdata="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kqTQAtUAAAAHAQAA&#10;DwAAAAAAAAABACAAAAAiAAAAZHJzL2Rvd25yZXYueG1sUEsBAhQAFAAAAAgAh07iQEmpiubjAQAA&#10;qgMAAA4AAAAAAAAAAQAgAAAAJAEAAGRycy9lMm9Eb2MueG1sUEsFBgAAAAAGAAYAWQEAAHkFAAAA&#10;AA==&#10;">
                <v:fill on="f" focussize="0,0"/>
                <v:stroke color="#000000" joinstyle="round"/>
                <v:imagedata o:title=""/>
                <o:lock v:ext="edit" aspectratio="f"/>
              </v:line>
            </w:pict>
          </mc:Fallback>
        </mc:AlternateContent>
      </w:r>
      <w:r>
        <w:rPr>
          <w:rFonts w:ascii="Times New Roman" w:hAnsi="Times New Roman" w:eastAsia="方正仿宋_GBK"/>
          <w:sz w:val="28"/>
          <w:szCs w:val="28"/>
          <w:u w:val="single"/>
        </w:rPr>
        <mc:AlternateContent>
          <mc:Choice Requires="wps">
            <w:drawing>
              <wp:anchor distT="0" distB="0" distL="114300" distR="114300" simplePos="0" relativeHeight="251660288" behindDoc="0" locked="0" layoutInCell="1" allowOverlap="1">
                <wp:simplePos x="0" y="0"/>
                <wp:positionH relativeFrom="column">
                  <wp:posOffset>37465</wp:posOffset>
                </wp:positionH>
                <wp:positionV relativeFrom="paragraph">
                  <wp:posOffset>22860</wp:posOffset>
                </wp:positionV>
                <wp:extent cx="5668010" cy="0"/>
                <wp:effectExtent l="0" t="0" r="0" b="0"/>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66801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2.95pt;margin-top:1.8pt;height:0pt;width:446.3pt;z-index:251660288;mso-width-relative:page;mso-height-relative:page;" filled="f" stroked="t" coordsize="21600,21600" o:gfxdata="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oe1CldMAAAAFAQAADwAA&#10;AAAAAAABACAAAAAiAAAAZHJzL2Rvd25yZXYueG1sUEsBAhQAFAAAAAgAh07iQJ0iiULiAQAAqgMA&#10;AA4AAAAAAAAAAQAgAAAAIgEAAGRycy9lMm9Eb2MueG1sUEsFBgAAAAAGAAYAWQEAAHYFAAAAAA==&#10;">
                <v:fill on="f" focussize="0,0"/>
                <v:stroke color="#000000" joinstyle="round"/>
                <v:imagedata o:title=""/>
                <o:lock v:ext="edit" aspectratio="f"/>
              </v:line>
            </w:pict>
          </mc:Fallback>
        </mc:AlternateContent>
      </w:r>
      <w:r>
        <w:rPr>
          <w:rFonts w:ascii="Times New Roman" w:hAnsi="Times New Roman" w:eastAsia="方正仿宋_GBK"/>
          <w:sz w:val="28"/>
          <w:szCs w:val="28"/>
        </w:rPr>
        <w:t xml:space="preserve">玉溪市财政局办公室     </w:t>
      </w:r>
      <w:r>
        <w:rPr>
          <w:rFonts w:hint="eastAsia" w:ascii="Times New Roman" w:hAnsi="Times New Roman" w:eastAsia="方正仿宋_GBK"/>
          <w:sz w:val="28"/>
          <w:szCs w:val="28"/>
          <w:lang w:val="en-US" w:eastAsia="zh-CN"/>
        </w:rPr>
        <w:t xml:space="preserve"> </w:t>
      </w:r>
      <w:r>
        <w:rPr>
          <w:rFonts w:ascii="Times New Roman" w:hAnsi="Times New Roman" w:eastAsia="方正仿宋_GBK"/>
          <w:sz w:val="28"/>
          <w:szCs w:val="28"/>
        </w:rPr>
        <w:t xml:space="preserve">  </w:t>
      </w:r>
      <w:r>
        <w:rPr>
          <w:rFonts w:hint="eastAsia" w:ascii="Times New Roman" w:hAnsi="Times New Roman" w:eastAsia="方正仿宋_GBK"/>
          <w:sz w:val="28"/>
          <w:szCs w:val="28"/>
          <w:lang w:val="en-US" w:eastAsia="zh-CN"/>
        </w:rPr>
        <w:t xml:space="preserve"> </w:t>
      </w:r>
      <w:r>
        <w:rPr>
          <w:rFonts w:ascii="Times New Roman" w:hAnsi="Times New Roman" w:eastAsia="方正仿宋_GBK"/>
          <w:sz w:val="28"/>
          <w:szCs w:val="28"/>
        </w:rPr>
        <w:t xml:space="preserve">   </w:t>
      </w:r>
      <w:r>
        <w:rPr>
          <w:rFonts w:hint="eastAsia" w:ascii="Times New Roman" w:hAnsi="Times New Roman" w:eastAsia="方正仿宋_GBK"/>
          <w:sz w:val="28"/>
          <w:szCs w:val="28"/>
        </w:rPr>
        <w:t xml:space="preserve">  </w:t>
      </w:r>
      <w:r>
        <w:rPr>
          <w:rFonts w:ascii="Times New Roman" w:hAnsi="Times New Roman" w:eastAsia="方正仿宋_GBK"/>
          <w:sz w:val="28"/>
          <w:szCs w:val="28"/>
        </w:rPr>
        <w:t xml:space="preserve">         </w:t>
      </w:r>
      <w:r>
        <w:rPr>
          <w:rFonts w:hint="eastAsia" w:ascii="Times New Roman" w:hAnsi="Times New Roman" w:eastAsia="方正仿宋_GBK"/>
          <w:sz w:val="28"/>
          <w:szCs w:val="28"/>
          <w:lang w:val="en-US" w:eastAsia="zh-CN"/>
        </w:rPr>
        <w:t>2025</w:t>
      </w:r>
      <w:r>
        <w:rPr>
          <w:rFonts w:ascii="Times New Roman" w:hAnsi="Times New Roman" w:eastAsia="方正仿宋_GBK"/>
          <w:sz w:val="28"/>
          <w:szCs w:val="28"/>
        </w:rPr>
        <w:t>年</w:t>
      </w:r>
      <w:r>
        <w:rPr>
          <w:rFonts w:hint="eastAsia" w:ascii="Times New Roman" w:hAnsi="Times New Roman" w:eastAsia="方正仿宋_GBK"/>
          <w:sz w:val="28"/>
          <w:szCs w:val="28"/>
          <w:lang w:val="en-US" w:eastAsia="zh-CN"/>
        </w:rPr>
        <w:t>6</w:t>
      </w:r>
      <w:r>
        <w:rPr>
          <w:rFonts w:ascii="Times New Roman" w:hAnsi="Times New Roman" w:eastAsia="方正仿宋_GBK"/>
          <w:sz w:val="28"/>
          <w:szCs w:val="28"/>
        </w:rPr>
        <w:t>月</w:t>
      </w:r>
      <w:r>
        <w:rPr>
          <w:rFonts w:hint="eastAsia" w:ascii="Times New Roman" w:hAnsi="Times New Roman" w:eastAsia="方正仿宋_GBK"/>
          <w:sz w:val="28"/>
          <w:szCs w:val="28"/>
          <w:lang w:val="en-US" w:eastAsia="zh-CN"/>
        </w:rPr>
        <w:t>20</w:t>
      </w:r>
      <w:r>
        <w:rPr>
          <w:rFonts w:ascii="Times New Roman" w:hAnsi="Times New Roman" w:eastAsia="方正仿宋_GBK"/>
          <w:sz w:val="28"/>
          <w:szCs w:val="28"/>
        </w:rPr>
        <w:t>日印发</w:t>
      </w:r>
    </w:p>
    <w:sectPr>
      <w:footerReference r:id="rId5" w:type="default"/>
      <w:pgSz w:w="11906" w:h="16838"/>
      <w:pgMar w:top="2041" w:right="1474" w:bottom="1304" w:left="1587" w:header="851" w:footer="992" w:gutter="0"/>
      <w:pgNumType w:fmt="decimal"/>
      <w:cols w:space="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书宋_GBK">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auto"/>
    <w:pitch w:val="default"/>
    <w:sig w:usb0="00000001" w:usb1="08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060ED4">
    <w:pPr>
      <w:pStyle w:val="3"/>
      <w:wordWrap w:val="0"/>
      <w:ind w:right="720"/>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7ED9A9">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0E7ED9A9">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440CA2">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D9BBC3">
    <w:pPr>
      <w:pStyle w:val="3"/>
      <w:wordWrap w:val="0"/>
      <w:ind w:right="720"/>
      <w:rPr>
        <w:rFonts w:ascii="宋体" w:hAnsi="宋体"/>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F94B65"/>
    <w:rsid w:val="00BC7F21"/>
    <w:rsid w:val="075631C5"/>
    <w:rsid w:val="07617700"/>
    <w:rsid w:val="12F212F8"/>
    <w:rsid w:val="19A51869"/>
    <w:rsid w:val="1F2740C9"/>
    <w:rsid w:val="210E6BDC"/>
    <w:rsid w:val="25C22E7E"/>
    <w:rsid w:val="28DB3D71"/>
    <w:rsid w:val="2CF94B65"/>
    <w:rsid w:val="30386EDE"/>
    <w:rsid w:val="3247201C"/>
    <w:rsid w:val="334B24A4"/>
    <w:rsid w:val="39C848AB"/>
    <w:rsid w:val="3E51789B"/>
    <w:rsid w:val="41DA27A4"/>
    <w:rsid w:val="451B002F"/>
    <w:rsid w:val="4B2917A4"/>
    <w:rsid w:val="50707B65"/>
    <w:rsid w:val="5CF12DC3"/>
    <w:rsid w:val="605447CB"/>
    <w:rsid w:val="61D5033C"/>
    <w:rsid w:val="641E1B8C"/>
    <w:rsid w:val="678E2F1A"/>
    <w:rsid w:val="6C2311A2"/>
    <w:rsid w:val="726A26A2"/>
    <w:rsid w:val="7AF44722"/>
    <w:rsid w:val="7B076CD2"/>
    <w:rsid w:val="7CD14F19"/>
    <w:rsid w:val="7E884360"/>
    <w:rsid w:val="7F4821C7"/>
    <w:rsid w:val="FFBBD36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630"/>
    </w:pPr>
    <w:rPr>
      <w:rFonts w:ascii="Times New Roman" w:hAnsi="Times New Roman" w:eastAsia="仿宋_GB2312"/>
      <w:kern w:val="0"/>
      <w:sz w:val="32"/>
      <w:szCs w:val="20"/>
    </w:rPr>
  </w:style>
  <w:style w:type="paragraph" w:styleId="3">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99"/>
    <w:rPr>
      <w:rFonts w:asciiTheme="minorHAnsi" w:hAnsiTheme="minorHAnsi" w:eastAsiaTheme="minorEastAsia" w:cstheme="minorBidi"/>
      <w:sz w:val="18"/>
      <w:szCs w:val="18"/>
    </w:rPr>
  </w:style>
  <w:style w:type="character" w:customStyle="1" w:styleId="9">
    <w:name w:val="页脚 Char"/>
    <w:basedOn w:val="7"/>
    <w:link w:val="3"/>
    <w:qFormat/>
    <w:uiPriority w:val="99"/>
    <w:rPr>
      <w:rFonts w:asciiTheme="minorHAnsi" w:hAnsiTheme="minorHAnsi" w:eastAsiaTheme="minorEastAsia" w:cstheme="minorBidi"/>
      <w:sz w:val="18"/>
      <w:szCs w:val="18"/>
    </w:rPr>
  </w:style>
  <w:style w:type="character" w:customStyle="1" w:styleId="10">
    <w:name w:val="font21"/>
    <w:basedOn w:val="7"/>
    <w:qFormat/>
    <w:uiPriority w:val="0"/>
    <w:rPr>
      <w:rFonts w:hint="eastAsia" w:ascii="宋体" w:hAnsi="宋体" w:eastAsia="宋体" w:cs="宋体"/>
      <w:color w:val="000000"/>
      <w:sz w:val="20"/>
      <w:szCs w:val="20"/>
      <w:u w:val="none"/>
    </w:rPr>
  </w:style>
  <w:style w:type="character" w:customStyle="1" w:styleId="11">
    <w:name w:val="font01"/>
    <w:basedOn w:val="7"/>
    <w:qFormat/>
    <w:uiPriority w:val="0"/>
    <w:rPr>
      <w:rFonts w:hint="eastAsia" w:ascii="宋体" w:hAnsi="宋体" w:eastAsia="宋体" w:cs="宋体"/>
      <w:color w:val="000000"/>
      <w:sz w:val="20"/>
      <w:szCs w:val="20"/>
      <w:u w:val="none"/>
    </w:rPr>
  </w:style>
  <w:style w:type="character" w:customStyle="1" w:styleId="12">
    <w:name w:val="font11"/>
    <w:basedOn w:val="7"/>
    <w:qFormat/>
    <w:uiPriority w:val="0"/>
    <w:rPr>
      <w:rFonts w:hint="default" w:ascii="Arial" w:hAnsi="Arial" w:cs="Arial"/>
      <w:color w:val="000000"/>
      <w:sz w:val="20"/>
      <w:szCs w:val="20"/>
      <w:u w:val="none"/>
    </w:rPr>
  </w:style>
  <w:style w:type="character" w:customStyle="1" w:styleId="13">
    <w:name w:val="font91"/>
    <w:basedOn w:val="7"/>
    <w:qFormat/>
    <w:uiPriority w:val="0"/>
    <w:rPr>
      <w:rFonts w:ascii="方正仿宋_GBK" w:hAnsi="方正仿宋_GBK" w:eastAsia="方正仿宋_GBK" w:cs="方正仿宋_GBK"/>
      <w:b/>
      <w:bCs/>
      <w:color w:val="000000"/>
      <w:sz w:val="20"/>
      <w:szCs w:val="20"/>
      <w:u w:val="none"/>
    </w:rPr>
  </w:style>
  <w:style w:type="character" w:customStyle="1" w:styleId="14">
    <w:name w:val="font101"/>
    <w:basedOn w:val="7"/>
    <w:qFormat/>
    <w:uiPriority w:val="0"/>
    <w:rPr>
      <w:rFonts w:hint="eastAsia" w:ascii="方正仿宋_GBK" w:hAnsi="方正仿宋_GBK" w:eastAsia="方正仿宋_GBK" w:cs="方正仿宋_GBK"/>
      <w:color w:val="000000"/>
      <w:sz w:val="20"/>
      <w:szCs w:val="20"/>
      <w:u w:val="none"/>
    </w:rPr>
  </w:style>
  <w:style w:type="character" w:customStyle="1" w:styleId="15">
    <w:name w:val="font81"/>
    <w:basedOn w:val="7"/>
    <w:qFormat/>
    <w:uiPriority w:val="0"/>
    <w:rPr>
      <w:rFonts w:hint="default" w:ascii="Times New Roman" w:hAnsi="Times New Roman" w:cs="Times New Roman"/>
      <w:color w:val="000000"/>
      <w:sz w:val="20"/>
      <w:szCs w:val="20"/>
      <w:u w:val="none"/>
    </w:rPr>
  </w:style>
  <w:style w:type="character" w:customStyle="1" w:styleId="16">
    <w:name w:val="font112"/>
    <w:basedOn w:val="7"/>
    <w:qFormat/>
    <w:uiPriority w:val="0"/>
    <w:rPr>
      <w:rFonts w:hint="eastAsia" w:ascii="方正仿宋_GBK" w:hAnsi="方正仿宋_GBK" w:eastAsia="方正仿宋_GBK" w:cs="方正仿宋_GBK"/>
      <w:b/>
      <w:bCs/>
      <w:color w:val="000000"/>
      <w:sz w:val="20"/>
      <w:szCs w:val="20"/>
      <w:u w:val="none"/>
    </w:rPr>
  </w:style>
  <w:style w:type="character" w:customStyle="1" w:styleId="17">
    <w:name w:val="font121"/>
    <w:basedOn w:val="7"/>
    <w:qFormat/>
    <w:uiPriority w:val="0"/>
    <w:rPr>
      <w:rFonts w:hint="eastAsia" w:ascii="方正仿宋_GBK" w:hAnsi="方正仿宋_GBK" w:eastAsia="方正仿宋_GBK" w:cs="方正仿宋_GBK"/>
      <w:color w:val="000000"/>
      <w:sz w:val="20"/>
      <w:szCs w:val="20"/>
      <w:u w:val="none"/>
    </w:rPr>
  </w:style>
  <w:style w:type="character" w:customStyle="1" w:styleId="18">
    <w:name w:val="font31"/>
    <w:basedOn w:val="7"/>
    <w:qFormat/>
    <w:uiPriority w:val="0"/>
    <w:rPr>
      <w:rFonts w:hint="default" w:ascii="Times New Roman" w:hAnsi="Times New Roman" w:cs="Times New Roman"/>
      <w:color w:val="000000"/>
      <w:sz w:val="20"/>
      <w:szCs w:val="20"/>
      <w:u w:val="none"/>
    </w:rPr>
  </w:style>
  <w:style w:type="character" w:customStyle="1" w:styleId="19">
    <w:name w:val="font131"/>
    <w:basedOn w:val="7"/>
    <w:qFormat/>
    <w:uiPriority w:val="0"/>
    <w:rPr>
      <w:rFonts w:hint="eastAsia" w:ascii="方正仿宋_GBK" w:hAnsi="方正仿宋_GBK" w:eastAsia="方正仿宋_GBK" w:cs="方正仿宋_GBK"/>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玉溪市直属党政机关单位</Company>
  <Pages>6</Pages>
  <Words>53</Words>
  <Characters>305</Characters>
  <Lines>2</Lines>
  <Paragraphs>1</Paragraphs>
  <TotalTime>0</TotalTime>
  <ScaleCrop>false</ScaleCrop>
  <LinksUpToDate>false</LinksUpToDate>
  <CharactersWithSpaces>357</CharactersWithSpaces>
  <Application>WPS Office_12.8.2.1117_F1E327BC-269C-435d-A152-05C5408002CA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2018-09-06T09:32:00Z</dcterms:created>
  <dc:creator>市财政局</dc:creator>
  <cp:lastModifiedBy>user</cp:lastModifiedBy>
  <dcterms:modified xsi:type="dcterms:W3CDTF">2025-11-03T16:27:52Z</dcterms:modified>
  <dc:title>玉溪市财政局文件</dc:title>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2052-12.8.2.1117</vt:lpwstr>
  </property>
  <property fmtid="{D5CDD505-2E9C-101B-9397-08002B2CF9AE}" pid="3" name="docranid">
    <vt:lpwstr>457DDD9DFF5447448CF2D47B17CDF9FC</vt:lpwstr>
  </property>
  <property fmtid="{D5CDD505-2E9C-101B-9397-08002B2CF9AE}" pid="4" name="ICV">
    <vt:lpwstr>C972ECE5CD7243E98E9A50AF1A2531A6</vt:lpwstr>
  </property>
</Properties>
</file>